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CB" w:rsidRPr="00247DCB" w:rsidRDefault="00247DCB" w:rsidP="00247DCB">
      <w:pPr>
        <w:pStyle w:val="ConsPlusNormal"/>
        <w:jc w:val="right"/>
        <w:outlineLvl w:val="0"/>
        <w:rPr>
          <w:rFonts w:ascii="Times New Roman" w:hAnsi="Times New Roman" w:cs="Times New Roman"/>
          <w:sz w:val="24"/>
          <w:szCs w:val="24"/>
        </w:rPr>
      </w:pPr>
      <w:r w:rsidRPr="00247DCB">
        <w:rPr>
          <w:rFonts w:ascii="Times New Roman" w:hAnsi="Times New Roman" w:cs="Times New Roman"/>
          <w:sz w:val="24"/>
          <w:szCs w:val="24"/>
        </w:rPr>
        <w:t>Приложение N 2.1</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к Приказу Минэнерго России</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от «24» марта 2010 года N 114</w:t>
      </w:r>
    </w:p>
    <w:p w:rsidR="00247DCB" w:rsidRPr="00247DCB" w:rsidRDefault="00247DCB" w:rsidP="00247DCB">
      <w:pPr>
        <w:spacing w:after="0" w:line="360" w:lineRule="auto"/>
        <w:contextualSpacing/>
        <w:jc w:val="center"/>
        <w:rPr>
          <w:rFonts w:ascii="Times New Roman" w:hAnsi="Times New Roman" w:cs="Times New Roman"/>
          <w:b/>
          <w:sz w:val="24"/>
          <w:szCs w:val="24"/>
        </w:rPr>
      </w:pPr>
    </w:p>
    <w:p w:rsidR="00247DCB" w:rsidRPr="00247DCB" w:rsidRDefault="00247DCB" w:rsidP="00247DCB">
      <w:pPr>
        <w:spacing w:after="0" w:line="360" w:lineRule="auto"/>
        <w:contextualSpacing/>
        <w:jc w:val="center"/>
        <w:rPr>
          <w:rFonts w:ascii="Times New Roman" w:hAnsi="Times New Roman" w:cs="Times New Roman"/>
          <w:b/>
          <w:sz w:val="24"/>
          <w:szCs w:val="24"/>
        </w:rPr>
      </w:pPr>
      <w:r w:rsidRPr="00247DCB">
        <w:rPr>
          <w:rFonts w:ascii="Times New Roman" w:hAnsi="Times New Roman" w:cs="Times New Roman"/>
          <w:b/>
          <w:sz w:val="24"/>
          <w:szCs w:val="24"/>
        </w:rPr>
        <w:t>КРАТКОЕ ОПИСАНИЕ ИНВЕСТИЦИОННОЙ ПРОГРАММЫ</w:t>
      </w:r>
    </w:p>
    <w:p w:rsidR="0094522D" w:rsidRPr="00247DCB" w:rsidRDefault="0094522D" w:rsidP="00ED7985">
      <w:pPr>
        <w:spacing w:after="0" w:line="360" w:lineRule="auto"/>
        <w:contextualSpacing/>
        <w:jc w:val="center"/>
        <w:rPr>
          <w:rFonts w:ascii="Times New Roman" w:hAnsi="Times New Roman" w:cs="Times New Roman"/>
          <w:b/>
          <w:sz w:val="24"/>
          <w:szCs w:val="24"/>
        </w:rPr>
      </w:pPr>
      <w:r w:rsidRPr="00247DCB">
        <w:rPr>
          <w:rFonts w:ascii="Times New Roman" w:hAnsi="Times New Roman" w:cs="Times New Roman"/>
          <w:b/>
          <w:sz w:val="24"/>
          <w:szCs w:val="24"/>
        </w:rPr>
        <w:t xml:space="preserve">ПАО «ЧЕЛЯБЭНЕРГОСБЫТ» НА 2017 </w:t>
      </w:r>
      <w:r w:rsidR="00B54CBF" w:rsidRPr="00247DCB">
        <w:rPr>
          <w:rFonts w:ascii="Times New Roman" w:hAnsi="Times New Roman" w:cs="Times New Roman"/>
          <w:b/>
          <w:sz w:val="24"/>
          <w:szCs w:val="24"/>
        </w:rPr>
        <w:t xml:space="preserve">-2019 </w:t>
      </w:r>
      <w:r w:rsidRPr="00247DCB">
        <w:rPr>
          <w:rFonts w:ascii="Times New Roman" w:hAnsi="Times New Roman" w:cs="Times New Roman"/>
          <w:b/>
          <w:sz w:val="24"/>
          <w:szCs w:val="24"/>
        </w:rPr>
        <w:t>ГОД</w:t>
      </w:r>
      <w:r w:rsidR="00B54CBF" w:rsidRPr="00247DCB">
        <w:rPr>
          <w:rFonts w:ascii="Times New Roman" w:hAnsi="Times New Roman" w:cs="Times New Roman"/>
          <w:b/>
          <w:sz w:val="24"/>
          <w:szCs w:val="24"/>
        </w:rPr>
        <w:t>А</w:t>
      </w:r>
    </w:p>
    <w:p w:rsidR="00183587" w:rsidRPr="00247DCB" w:rsidRDefault="00183587" w:rsidP="00ED7985">
      <w:pPr>
        <w:spacing w:after="0" w:line="360" w:lineRule="auto"/>
        <w:contextualSpacing/>
        <w:jc w:val="center"/>
        <w:rPr>
          <w:rFonts w:ascii="Times New Roman" w:hAnsi="Times New Roman" w:cs="Times New Roman"/>
          <w:b/>
          <w:sz w:val="24"/>
          <w:szCs w:val="24"/>
        </w:rPr>
      </w:pP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Утверждаю</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генеральный директор</w:t>
      </w:r>
    </w:p>
    <w:p w:rsidR="00247DCB" w:rsidRPr="00247DCB" w:rsidRDefault="00247DCB" w:rsidP="00247DCB">
      <w:pPr>
        <w:pStyle w:val="ConsPlusNormal"/>
        <w:jc w:val="right"/>
        <w:rPr>
          <w:rFonts w:ascii="Times New Roman" w:hAnsi="Times New Roman" w:cs="Times New Roman"/>
          <w:sz w:val="24"/>
          <w:szCs w:val="24"/>
        </w:rPr>
      </w:pP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________А.В Красиков</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"__" ______ 20__ года</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М.П.</w:t>
      </w:r>
    </w:p>
    <w:p w:rsidR="00247DCB" w:rsidRPr="00247DCB" w:rsidRDefault="00247DCB" w:rsidP="00ED7985">
      <w:pPr>
        <w:spacing w:after="0" w:line="360" w:lineRule="auto"/>
        <w:contextualSpacing/>
        <w:jc w:val="center"/>
        <w:rPr>
          <w:rFonts w:ascii="Times New Roman" w:hAnsi="Times New Roman" w:cs="Times New Roman"/>
          <w:b/>
          <w:sz w:val="24"/>
          <w:szCs w:val="24"/>
        </w:rPr>
      </w:pPr>
    </w:p>
    <w:p w:rsidR="00E722FB" w:rsidRPr="00247DCB" w:rsidRDefault="00EB217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ПАО «Челябэнергосбыт» является крупнейшим гарантирующим поставщиком электрической энергии Челябинской области. </w:t>
      </w:r>
      <w:r w:rsidR="00F672A2" w:rsidRPr="00247DCB">
        <w:rPr>
          <w:rFonts w:ascii="Times New Roman" w:eastAsia="Times New Roman" w:hAnsi="Times New Roman" w:cs="Times New Roman"/>
          <w:bCs/>
          <w:sz w:val="24"/>
          <w:szCs w:val="24"/>
          <w:lang w:eastAsia="ru-RU"/>
        </w:rPr>
        <w:t xml:space="preserve"> </w:t>
      </w:r>
      <w:r w:rsidR="00E722FB" w:rsidRPr="00247DCB">
        <w:rPr>
          <w:rFonts w:ascii="Times New Roman" w:eastAsia="Times New Roman" w:hAnsi="Times New Roman" w:cs="Times New Roman"/>
          <w:bCs/>
          <w:sz w:val="24"/>
          <w:szCs w:val="24"/>
          <w:lang w:eastAsia="ru-RU"/>
        </w:rPr>
        <w:t xml:space="preserve">Основной функцией гарантирующего поставщика является расчёт с потребителями находящимися у него на обслуживании </w:t>
      </w:r>
      <w:r w:rsidR="00F672A2" w:rsidRPr="00247DCB">
        <w:rPr>
          <w:rFonts w:ascii="Times New Roman" w:eastAsia="Times New Roman" w:hAnsi="Times New Roman" w:cs="Times New Roman"/>
          <w:bCs/>
          <w:sz w:val="24"/>
          <w:szCs w:val="24"/>
          <w:lang w:eastAsia="ru-RU"/>
        </w:rPr>
        <w:t xml:space="preserve"> в сроки и порядки, установленные Основными положениями функционирования розничных рынков (Постановление Правительства от 04.05.2012 г. № 442),</w:t>
      </w:r>
    </w:p>
    <w:p w:rsidR="00F672A2" w:rsidRPr="00247DCB" w:rsidRDefault="00F672A2"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Ежемесячный объем расчетов составляет порядка 1 368 тыс. физических лиц и 42 077 юридических лиц, необходимо учесть, что </w:t>
      </w:r>
      <w:proofErr w:type="spellStart"/>
      <w:r w:rsidRPr="00247DCB">
        <w:rPr>
          <w:rFonts w:ascii="Times New Roman" w:eastAsia="Times New Roman" w:hAnsi="Times New Roman" w:cs="Times New Roman"/>
          <w:bCs/>
          <w:sz w:val="24"/>
          <w:szCs w:val="24"/>
          <w:lang w:eastAsia="ru-RU"/>
        </w:rPr>
        <w:t>биллинг</w:t>
      </w:r>
      <w:proofErr w:type="spellEnd"/>
      <w:r w:rsidRPr="00247DCB">
        <w:rPr>
          <w:rFonts w:ascii="Times New Roman" w:eastAsia="Times New Roman" w:hAnsi="Times New Roman" w:cs="Times New Roman"/>
          <w:bCs/>
          <w:sz w:val="24"/>
          <w:szCs w:val="24"/>
          <w:lang w:eastAsia="ru-RU"/>
        </w:rPr>
        <w:t xml:space="preserve"> расчётных документов для юридических лиц производиться три раза в месяц (2 счёта на авансовые платежи, документы по </w:t>
      </w:r>
      <w:r w:rsidR="00E722FB" w:rsidRPr="00247DCB">
        <w:rPr>
          <w:rFonts w:ascii="Times New Roman" w:eastAsia="Times New Roman" w:hAnsi="Times New Roman" w:cs="Times New Roman"/>
          <w:bCs/>
          <w:sz w:val="24"/>
          <w:szCs w:val="24"/>
          <w:lang w:eastAsia="ru-RU"/>
        </w:rPr>
        <w:t>окончательному</w:t>
      </w:r>
      <w:r w:rsidRPr="00247DCB">
        <w:rPr>
          <w:rFonts w:ascii="Times New Roman" w:eastAsia="Times New Roman" w:hAnsi="Times New Roman" w:cs="Times New Roman"/>
          <w:bCs/>
          <w:sz w:val="24"/>
          <w:szCs w:val="24"/>
          <w:lang w:eastAsia="ru-RU"/>
        </w:rPr>
        <w:t xml:space="preserve"> расчёт</w:t>
      </w:r>
      <w:r w:rsidR="00E722FB" w:rsidRPr="00247DCB">
        <w:rPr>
          <w:rFonts w:ascii="Times New Roman" w:eastAsia="Times New Roman" w:hAnsi="Times New Roman" w:cs="Times New Roman"/>
          <w:bCs/>
          <w:sz w:val="24"/>
          <w:szCs w:val="24"/>
          <w:lang w:eastAsia="ru-RU"/>
        </w:rPr>
        <w:t>у</w:t>
      </w:r>
      <w:r w:rsidRPr="00247DCB">
        <w:rPr>
          <w:rFonts w:ascii="Times New Roman" w:eastAsia="Times New Roman" w:hAnsi="Times New Roman" w:cs="Times New Roman"/>
          <w:bCs/>
          <w:sz w:val="24"/>
          <w:szCs w:val="24"/>
          <w:lang w:eastAsia="ru-RU"/>
        </w:rPr>
        <w:t>).</w:t>
      </w:r>
      <w:r w:rsidR="001E6E94" w:rsidRPr="00247DCB">
        <w:rPr>
          <w:rFonts w:ascii="Times New Roman" w:eastAsia="Times New Roman" w:hAnsi="Times New Roman" w:cs="Times New Roman"/>
          <w:bCs/>
          <w:sz w:val="24"/>
          <w:szCs w:val="24"/>
          <w:lang w:eastAsia="ru-RU"/>
        </w:rPr>
        <w:t xml:space="preserve"> </w:t>
      </w:r>
      <w:r w:rsidR="00B30ADA" w:rsidRPr="00247DCB">
        <w:rPr>
          <w:rFonts w:ascii="Times New Roman" w:eastAsia="Times New Roman" w:hAnsi="Times New Roman" w:cs="Times New Roman"/>
          <w:bCs/>
          <w:sz w:val="24"/>
          <w:szCs w:val="24"/>
          <w:lang w:eastAsia="ru-RU"/>
        </w:rPr>
        <w:t xml:space="preserve"> </w:t>
      </w:r>
    </w:p>
    <w:p w:rsidR="0008671E" w:rsidRPr="00247DCB" w:rsidRDefault="001E6E94"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 учётом </w:t>
      </w:r>
      <w:r w:rsidR="00760589" w:rsidRPr="00247DCB">
        <w:rPr>
          <w:rFonts w:ascii="Times New Roman" w:eastAsia="Times New Roman" w:hAnsi="Times New Roman" w:cs="Times New Roman"/>
          <w:bCs/>
          <w:sz w:val="24"/>
          <w:szCs w:val="24"/>
          <w:lang w:eastAsia="ru-RU"/>
        </w:rPr>
        <w:t xml:space="preserve"> объёма обрабатываемой информации с</w:t>
      </w:r>
      <w:r w:rsidR="003E6031" w:rsidRPr="00247DCB">
        <w:rPr>
          <w:rFonts w:ascii="Times New Roman" w:eastAsia="Times New Roman" w:hAnsi="Times New Roman" w:cs="Times New Roman"/>
          <w:bCs/>
          <w:sz w:val="24"/>
          <w:szCs w:val="24"/>
          <w:lang w:eastAsia="ru-RU"/>
        </w:rPr>
        <w:t>воевременно</w:t>
      </w:r>
      <w:r w:rsidRPr="00247DCB">
        <w:rPr>
          <w:rFonts w:ascii="Times New Roman" w:eastAsia="Times New Roman" w:hAnsi="Times New Roman" w:cs="Times New Roman"/>
          <w:bCs/>
          <w:sz w:val="24"/>
          <w:szCs w:val="24"/>
          <w:lang w:eastAsia="ru-RU"/>
        </w:rPr>
        <w:t xml:space="preserve">сть </w:t>
      </w:r>
      <w:r w:rsidR="003E6031" w:rsidRPr="00247DCB">
        <w:rPr>
          <w:rFonts w:ascii="Times New Roman" w:eastAsia="Times New Roman" w:hAnsi="Times New Roman" w:cs="Times New Roman"/>
          <w:bCs/>
          <w:sz w:val="24"/>
          <w:szCs w:val="24"/>
          <w:lang w:eastAsia="ru-RU"/>
        </w:rPr>
        <w:t xml:space="preserve"> и полн</w:t>
      </w:r>
      <w:r w:rsidRPr="00247DCB">
        <w:rPr>
          <w:rFonts w:ascii="Times New Roman" w:eastAsia="Times New Roman" w:hAnsi="Times New Roman" w:cs="Times New Roman"/>
          <w:bCs/>
          <w:sz w:val="24"/>
          <w:szCs w:val="24"/>
          <w:lang w:eastAsia="ru-RU"/>
        </w:rPr>
        <w:t xml:space="preserve">ота </w:t>
      </w:r>
      <w:r w:rsidR="003E6031" w:rsidRPr="00247DCB">
        <w:rPr>
          <w:rFonts w:ascii="Times New Roman" w:eastAsia="Times New Roman" w:hAnsi="Times New Roman" w:cs="Times New Roman"/>
          <w:bCs/>
          <w:sz w:val="24"/>
          <w:szCs w:val="24"/>
          <w:lang w:eastAsia="ru-RU"/>
        </w:rPr>
        <w:t xml:space="preserve"> проведение расчётов </w:t>
      </w:r>
      <w:r w:rsidR="00760589" w:rsidRPr="00247DCB">
        <w:rPr>
          <w:rFonts w:ascii="Times New Roman" w:eastAsia="Times New Roman" w:hAnsi="Times New Roman" w:cs="Times New Roman"/>
          <w:bCs/>
          <w:sz w:val="24"/>
          <w:szCs w:val="24"/>
          <w:lang w:eastAsia="ru-RU"/>
        </w:rPr>
        <w:t xml:space="preserve">зависит от </w:t>
      </w:r>
      <w:r w:rsidR="003E6031"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производительност</w:t>
      </w:r>
      <w:r w:rsidR="0008671E" w:rsidRPr="00247DCB">
        <w:rPr>
          <w:rFonts w:ascii="Times New Roman" w:eastAsia="Times New Roman" w:hAnsi="Times New Roman" w:cs="Times New Roman"/>
          <w:bCs/>
          <w:sz w:val="24"/>
          <w:szCs w:val="24"/>
          <w:lang w:eastAsia="ru-RU"/>
        </w:rPr>
        <w:t xml:space="preserve">и и надёжности </w:t>
      </w:r>
      <w:proofErr w:type="spellStart"/>
      <w:r w:rsidR="0008671E" w:rsidRPr="00247DCB">
        <w:rPr>
          <w:rFonts w:ascii="Times New Roman" w:eastAsia="Times New Roman" w:hAnsi="Times New Roman" w:cs="Times New Roman"/>
          <w:bCs/>
          <w:sz w:val="24"/>
          <w:szCs w:val="24"/>
          <w:lang w:eastAsia="ru-RU"/>
        </w:rPr>
        <w:t>программно</w:t>
      </w:r>
      <w:proofErr w:type="spellEnd"/>
      <w:r w:rsidR="0008671E" w:rsidRPr="00247DCB">
        <w:rPr>
          <w:rFonts w:ascii="Times New Roman" w:eastAsia="Times New Roman" w:hAnsi="Times New Roman" w:cs="Times New Roman"/>
          <w:bCs/>
          <w:sz w:val="24"/>
          <w:szCs w:val="24"/>
          <w:lang w:eastAsia="ru-RU"/>
        </w:rPr>
        <w:t xml:space="preserve"> – аппаратных комплексов Общества.</w:t>
      </w:r>
    </w:p>
    <w:p w:rsidR="00625D7D" w:rsidRPr="00247DCB" w:rsidRDefault="003025A7" w:rsidP="003025A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Инвестиционная программа ПАО «Челябэнергосбыт»  на период 2017-2019 гг. (далее – ИПР) разработана с учетом норм</w:t>
      </w:r>
      <w:r w:rsidR="00E1547D" w:rsidRPr="00247DCB">
        <w:rPr>
          <w:rFonts w:ascii="Times New Roman" w:eastAsia="Times New Roman" w:hAnsi="Times New Roman" w:cs="Times New Roman"/>
          <w:bCs/>
          <w:sz w:val="24"/>
          <w:szCs w:val="24"/>
          <w:lang w:eastAsia="ru-RU"/>
        </w:rPr>
        <w:t xml:space="preserve"> и требований</w:t>
      </w:r>
      <w:r w:rsidRPr="00247DCB">
        <w:rPr>
          <w:rFonts w:ascii="Times New Roman" w:eastAsia="Times New Roman" w:hAnsi="Times New Roman" w:cs="Times New Roman"/>
          <w:bCs/>
          <w:sz w:val="24"/>
          <w:szCs w:val="24"/>
          <w:lang w:eastAsia="ru-RU"/>
        </w:rPr>
        <w:t xml:space="preserve"> действую</w:t>
      </w:r>
      <w:r w:rsidR="00E1547D" w:rsidRPr="00247DCB">
        <w:rPr>
          <w:rFonts w:ascii="Times New Roman" w:eastAsia="Times New Roman" w:hAnsi="Times New Roman" w:cs="Times New Roman"/>
          <w:bCs/>
          <w:sz w:val="24"/>
          <w:szCs w:val="24"/>
          <w:lang w:eastAsia="ru-RU"/>
        </w:rPr>
        <w:t xml:space="preserve">щего законодательства и текущей </w:t>
      </w:r>
      <w:r w:rsidR="00625D7D" w:rsidRPr="00247DCB">
        <w:rPr>
          <w:rFonts w:ascii="Times New Roman" w:eastAsia="Times New Roman" w:hAnsi="Times New Roman" w:cs="Times New Roman"/>
          <w:bCs/>
          <w:sz w:val="24"/>
          <w:szCs w:val="24"/>
          <w:lang w:eastAsia="ru-RU"/>
        </w:rPr>
        <w:t xml:space="preserve">экономической </w:t>
      </w:r>
      <w:r w:rsidR="00E1547D" w:rsidRPr="00247DCB">
        <w:rPr>
          <w:rFonts w:ascii="Times New Roman" w:eastAsia="Times New Roman" w:hAnsi="Times New Roman" w:cs="Times New Roman"/>
          <w:bCs/>
          <w:sz w:val="24"/>
          <w:szCs w:val="24"/>
          <w:lang w:eastAsia="ru-RU"/>
        </w:rPr>
        <w:t>ситуации</w:t>
      </w:r>
      <w:r w:rsidR="00625D7D" w:rsidRPr="00247DCB">
        <w:rPr>
          <w:rFonts w:ascii="Times New Roman" w:eastAsia="Times New Roman" w:hAnsi="Times New Roman" w:cs="Times New Roman"/>
          <w:bCs/>
          <w:sz w:val="24"/>
          <w:szCs w:val="24"/>
          <w:lang w:eastAsia="ru-RU"/>
        </w:rPr>
        <w:t>.</w:t>
      </w:r>
    </w:p>
    <w:p w:rsidR="00F672A2" w:rsidRPr="00247DCB" w:rsidRDefault="003025A7" w:rsidP="003025A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реализации инвестиционной программы предусматривается решение следующих задач:</w:t>
      </w:r>
    </w:p>
    <w:p w:rsidR="00E1547D" w:rsidRPr="00247DCB" w:rsidRDefault="00E1547D"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1. Соблюдение стандартов качества обслуживания потребителей, в том числе  создание средств защиты баз данных потребителей юридических лиц, соответствующих  требованиями законодательства Российской Федерации о защите данных, увеличение ёмкости хранения данных и модернизацию системы резервного копирования данных, расширение возможностей потребителей по доступу ко всем возможным каналом обслуживания (очному, заочному, интерактивному);</w:t>
      </w:r>
    </w:p>
    <w:p w:rsidR="00E1547D" w:rsidRPr="00247DCB" w:rsidRDefault="00E1547D"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2. Поддержание работоспособности</w:t>
      </w:r>
      <w:r w:rsidR="00793E6F" w:rsidRPr="00247DCB">
        <w:rPr>
          <w:rFonts w:ascii="Times New Roman" w:eastAsia="Times New Roman" w:hAnsi="Times New Roman" w:cs="Times New Roman"/>
          <w:bCs/>
          <w:sz w:val="24"/>
          <w:szCs w:val="24"/>
          <w:lang w:eastAsia="ru-RU"/>
        </w:rPr>
        <w:t xml:space="preserve"> программно-вычислительных комплексов, в том числе </w:t>
      </w:r>
      <w:proofErr w:type="spellStart"/>
      <w:r w:rsidR="00793E6F" w:rsidRPr="00247DCB">
        <w:rPr>
          <w:rFonts w:ascii="Times New Roman" w:eastAsia="Times New Roman" w:hAnsi="Times New Roman" w:cs="Times New Roman"/>
          <w:bCs/>
          <w:sz w:val="24"/>
          <w:szCs w:val="24"/>
          <w:lang w:eastAsia="ru-RU"/>
        </w:rPr>
        <w:t>биллинговой</w:t>
      </w:r>
      <w:proofErr w:type="spellEnd"/>
      <w:r w:rsidR="00793E6F" w:rsidRPr="00247DCB">
        <w:rPr>
          <w:rFonts w:ascii="Times New Roman" w:eastAsia="Times New Roman" w:hAnsi="Times New Roman" w:cs="Times New Roman"/>
          <w:bCs/>
          <w:sz w:val="24"/>
          <w:szCs w:val="24"/>
          <w:lang w:eastAsia="ru-RU"/>
        </w:rPr>
        <w:t xml:space="preserve"> системы;</w:t>
      </w:r>
    </w:p>
    <w:p w:rsidR="00793E6F" w:rsidRPr="00247DCB" w:rsidRDefault="00793E6F"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3. Обеспечение соблюдения требований оптового рынка электроэнергии, в тот числе требований к приборам учёта;</w:t>
      </w:r>
    </w:p>
    <w:p w:rsidR="009700A6" w:rsidRPr="00247DCB" w:rsidRDefault="009700A6" w:rsidP="009700A6">
      <w:pPr>
        <w:pStyle w:val="a3"/>
        <w:spacing w:after="0" w:line="360" w:lineRule="auto"/>
        <w:ind w:left="0"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4. Снижение юридических и технологических рисков ПАО «Челябэнергосбыт», связанных с соответствием использования программного обеспечения </w:t>
      </w:r>
      <w:proofErr w:type="spellStart"/>
      <w:r w:rsidRPr="00247DCB">
        <w:rPr>
          <w:rFonts w:ascii="Times New Roman" w:eastAsia="Times New Roman" w:hAnsi="Times New Roman" w:cs="Times New Roman"/>
          <w:bCs/>
          <w:sz w:val="24"/>
          <w:szCs w:val="24"/>
          <w:lang w:eastAsia="ru-RU"/>
        </w:rPr>
        <w:t>Microsoft</w:t>
      </w:r>
      <w:proofErr w:type="spellEnd"/>
      <w:r w:rsidRPr="00247DCB">
        <w:rPr>
          <w:rFonts w:ascii="Times New Roman" w:eastAsia="Times New Roman" w:hAnsi="Times New Roman" w:cs="Times New Roman"/>
          <w:bCs/>
          <w:sz w:val="24"/>
          <w:szCs w:val="24"/>
          <w:lang w:eastAsia="ru-RU"/>
        </w:rPr>
        <w:t xml:space="preserve"> лицензионным политикам производителя и законодательства РФ, высокой вероятностью выхода из строя оборудования в виду его физического износа.</w:t>
      </w:r>
    </w:p>
    <w:p w:rsidR="006D7886" w:rsidRPr="00247DCB" w:rsidRDefault="009700A6" w:rsidP="006D7886">
      <w:pPr>
        <w:spacing w:after="0" w:line="360" w:lineRule="auto"/>
        <w:ind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5</w:t>
      </w:r>
      <w:r w:rsidR="00793E6F" w:rsidRPr="00247DCB">
        <w:rPr>
          <w:rFonts w:ascii="Times New Roman" w:eastAsia="Times New Roman" w:hAnsi="Times New Roman" w:cs="Times New Roman"/>
          <w:bCs/>
          <w:sz w:val="24"/>
          <w:szCs w:val="24"/>
          <w:lang w:eastAsia="ru-RU"/>
        </w:rPr>
        <w:t xml:space="preserve">. </w:t>
      </w:r>
      <w:r w:rsidR="006D7886" w:rsidRPr="00247DCB">
        <w:rPr>
          <w:rFonts w:ascii="Times New Roman" w:eastAsia="Times New Roman" w:hAnsi="Times New Roman" w:cs="Times New Roman"/>
          <w:bCs/>
          <w:sz w:val="24"/>
          <w:szCs w:val="24"/>
          <w:lang w:eastAsia="ru-RU"/>
        </w:rPr>
        <w:t>Снижение разногласий с территориальные сетевыми организациями в части объёмов полезного отпуска населению, получение достоверной информации об объёмах потреблённой гражданами электроэнергии.</w:t>
      </w:r>
    </w:p>
    <w:p w:rsidR="00E83CC8" w:rsidRPr="00247DCB" w:rsidRDefault="009700A6"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6</w:t>
      </w:r>
      <w:r w:rsidR="00E83CC8" w:rsidRPr="00247DCB">
        <w:rPr>
          <w:rFonts w:ascii="Times New Roman" w:eastAsia="Times New Roman" w:hAnsi="Times New Roman" w:cs="Times New Roman"/>
          <w:bCs/>
          <w:sz w:val="24"/>
          <w:szCs w:val="24"/>
          <w:lang w:eastAsia="ru-RU"/>
        </w:rPr>
        <w:t xml:space="preserve">. Поддержание работоспособности парка оборудования компании, необходимого для обеспечения бесперебойного выполнения обязанностей </w:t>
      </w:r>
      <w:proofErr w:type="spellStart"/>
      <w:r w:rsidR="00E83CC8" w:rsidRPr="00247DCB">
        <w:rPr>
          <w:rFonts w:ascii="Times New Roman" w:eastAsia="Times New Roman" w:hAnsi="Times New Roman" w:cs="Times New Roman"/>
          <w:bCs/>
          <w:sz w:val="24"/>
          <w:szCs w:val="24"/>
          <w:lang w:eastAsia="ru-RU"/>
        </w:rPr>
        <w:t>энергосбытовой</w:t>
      </w:r>
      <w:proofErr w:type="spellEnd"/>
      <w:r w:rsidR="00E83CC8" w:rsidRPr="00247DCB">
        <w:rPr>
          <w:rFonts w:ascii="Times New Roman" w:eastAsia="Times New Roman" w:hAnsi="Times New Roman" w:cs="Times New Roman"/>
          <w:bCs/>
          <w:sz w:val="24"/>
          <w:szCs w:val="24"/>
          <w:lang w:eastAsia="ru-RU"/>
        </w:rPr>
        <w:t xml:space="preserve"> компании</w:t>
      </w:r>
    </w:p>
    <w:p w:rsidR="00E1547D" w:rsidRPr="00247DCB" w:rsidRDefault="00E1547D" w:rsidP="003025A7">
      <w:pPr>
        <w:spacing w:after="0" w:line="360" w:lineRule="auto"/>
        <w:ind w:firstLine="708"/>
        <w:contextualSpacing/>
        <w:jc w:val="both"/>
        <w:rPr>
          <w:rFonts w:ascii="Times New Roman" w:eastAsia="Times New Roman" w:hAnsi="Times New Roman" w:cs="Times New Roman"/>
          <w:bCs/>
          <w:sz w:val="24"/>
          <w:szCs w:val="24"/>
          <w:lang w:eastAsia="ru-RU"/>
        </w:rPr>
      </w:pPr>
    </w:p>
    <w:p w:rsidR="00014A6B" w:rsidRPr="00247DCB" w:rsidRDefault="00014A6B"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ПАО «Челябэнергосбыт» </w:t>
      </w:r>
      <w:r w:rsidR="00B743E4" w:rsidRPr="00247DCB">
        <w:rPr>
          <w:rFonts w:ascii="Times New Roman" w:eastAsia="Times New Roman" w:hAnsi="Times New Roman" w:cs="Times New Roman"/>
          <w:bCs/>
          <w:sz w:val="24"/>
          <w:szCs w:val="24"/>
          <w:lang w:eastAsia="ru-RU"/>
        </w:rPr>
        <w:t xml:space="preserve">планирует реализовать следующие </w:t>
      </w:r>
      <w:r w:rsidRPr="00247DCB">
        <w:rPr>
          <w:rFonts w:ascii="Times New Roman" w:eastAsia="Times New Roman" w:hAnsi="Times New Roman" w:cs="Times New Roman"/>
          <w:bCs/>
          <w:sz w:val="24"/>
          <w:szCs w:val="24"/>
          <w:lang w:eastAsia="ru-RU"/>
        </w:rPr>
        <w:t>проект</w:t>
      </w:r>
      <w:r w:rsidR="00B743E4" w:rsidRPr="00247DCB">
        <w:rPr>
          <w:rFonts w:ascii="Times New Roman" w:eastAsia="Times New Roman" w:hAnsi="Times New Roman" w:cs="Times New Roman"/>
          <w:bCs/>
          <w:sz w:val="24"/>
          <w:szCs w:val="24"/>
          <w:lang w:eastAsia="ru-RU"/>
        </w:rPr>
        <w:t>ы в рамках инвестиционной программы</w:t>
      </w:r>
    </w:p>
    <w:p w:rsidR="00FC7EF7" w:rsidRPr="00247DCB" w:rsidRDefault="00FC7EF7">
      <w:pPr>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br w:type="page"/>
      </w:r>
    </w:p>
    <w:p w:rsidR="0094522D" w:rsidRPr="00247DCB" w:rsidRDefault="0094522D" w:rsidP="00C4779E">
      <w:pPr>
        <w:pStyle w:val="a3"/>
        <w:numPr>
          <w:ilvl w:val="0"/>
          <w:numId w:val="1"/>
        </w:numPr>
        <w:spacing w:after="0" w:line="360" w:lineRule="auto"/>
        <w:ind w:left="426" w:hanging="426"/>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Соблюдение стандартов качества обслуживания абонентов</w:t>
      </w:r>
    </w:p>
    <w:p w:rsidR="00CD7003" w:rsidRPr="00247DCB" w:rsidRDefault="00CD7003" w:rsidP="00E1547D">
      <w:pPr>
        <w:pStyle w:val="a3"/>
        <w:spacing w:after="0" w:line="360" w:lineRule="auto"/>
        <w:ind w:left="0"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Основные положения функционирования розничных рынков электрической энергии (Постановление Правительства от 04.05.2012 №442) определяют  основные требования к обслуживанию гарантирующими поставщиками потребителей электрической энергии </w:t>
      </w:r>
    </w:p>
    <w:p w:rsidR="00014A6B" w:rsidRPr="00247DCB" w:rsidRDefault="00B743E4" w:rsidP="00E1547D">
      <w:pPr>
        <w:pStyle w:val="a3"/>
        <w:spacing w:after="0" w:line="360" w:lineRule="auto"/>
        <w:ind w:left="0"/>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w:t>
      </w:r>
      <w:r w:rsidR="00CD7003" w:rsidRPr="00247DCB">
        <w:rPr>
          <w:rFonts w:ascii="Times New Roman" w:eastAsia="Times New Roman" w:hAnsi="Times New Roman" w:cs="Times New Roman"/>
          <w:bCs/>
          <w:sz w:val="24"/>
          <w:szCs w:val="24"/>
          <w:lang w:eastAsia="ru-RU"/>
        </w:rPr>
        <w:t xml:space="preserve"> </w:t>
      </w:r>
      <w:r w:rsidR="00A83759" w:rsidRPr="00247DCB">
        <w:rPr>
          <w:rFonts w:ascii="Times New Roman" w:eastAsia="Times New Roman" w:hAnsi="Times New Roman" w:cs="Times New Roman"/>
          <w:bCs/>
          <w:sz w:val="24"/>
          <w:szCs w:val="24"/>
          <w:lang w:eastAsia="ru-RU"/>
        </w:rPr>
        <w:t>частности п</w:t>
      </w:r>
      <w:r w:rsidR="00C270FF" w:rsidRPr="00247DCB">
        <w:rPr>
          <w:rFonts w:ascii="Times New Roman" w:eastAsia="Times New Roman" w:hAnsi="Times New Roman" w:cs="Times New Roman"/>
          <w:bCs/>
          <w:sz w:val="24"/>
          <w:szCs w:val="24"/>
          <w:lang w:eastAsia="ru-RU"/>
        </w:rPr>
        <w:t xml:space="preserve">. 11 </w:t>
      </w:r>
      <w:r w:rsidR="00A83759" w:rsidRPr="00247DCB">
        <w:rPr>
          <w:rFonts w:ascii="Times New Roman" w:eastAsia="Times New Roman" w:hAnsi="Times New Roman" w:cs="Times New Roman"/>
          <w:bCs/>
          <w:sz w:val="24"/>
          <w:szCs w:val="24"/>
          <w:lang w:eastAsia="ru-RU"/>
        </w:rPr>
        <w:t xml:space="preserve">определяет, что </w:t>
      </w:r>
      <w:r w:rsidR="00290F91" w:rsidRPr="00247DCB">
        <w:rPr>
          <w:rFonts w:ascii="Times New Roman" w:eastAsia="Times New Roman" w:hAnsi="Times New Roman" w:cs="Times New Roman"/>
          <w:bCs/>
          <w:sz w:val="24"/>
          <w:szCs w:val="24"/>
          <w:lang w:eastAsia="ru-RU"/>
        </w:rPr>
        <w:t xml:space="preserve"> гарантирующ</w:t>
      </w:r>
      <w:r w:rsidR="00A83759" w:rsidRPr="00247DCB">
        <w:rPr>
          <w:rFonts w:ascii="Times New Roman" w:eastAsia="Times New Roman" w:hAnsi="Times New Roman" w:cs="Times New Roman"/>
          <w:bCs/>
          <w:sz w:val="24"/>
          <w:szCs w:val="24"/>
          <w:lang w:eastAsia="ru-RU"/>
        </w:rPr>
        <w:t xml:space="preserve">ий </w:t>
      </w:r>
      <w:r w:rsidR="00290F91" w:rsidRPr="00247DCB">
        <w:rPr>
          <w:rFonts w:ascii="Times New Roman" w:eastAsia="Times New Roman" w:hAnsi="Times New Roman" w:cs="Times New Roman"/>
          <w:bCs/>
          <w:sz w:val="24"/>
          <w:szCs w:val="24"/>
          <w:lang w:eastAsia="ru-RU"/>
        </w:rPr>
        <w:t>поставщик</w:t>
      </w:r>
      <w:r w:rsidR="00C270FF" w:rsidRPr="00247DCB">
        <w:rPr>
          <w:rFonts w:ascii="Times New Roman" w:eastAsia="Times New Roman" w:hAnsi="Times New Roman" w:cs="Times New Roman"/>
          <w:bCs/>
          <w:sz w:val="24"/>
          <w:szCs w:val="24"/>
          <w:lang w:eastAsia="ru-RU"/>
        </w:rPr>
        <w:t xml:space="preserve"> обяза</w:t>
      </w:r>
      <w:r w:rsidR="00A83759" w:rsidRPr="00247DCB">
        <w:rPr>
          <w:rFonts w:ascii="Times New Roman" w:eastAsia="Times New Roman" w:hAnsi="Times New Roman" w:cs="Times New Roman"/>
          <w:bCs/>
          <w:sz w:val="24"/>
          <w:szCs w:val="24"/>
          <w:lang w:eastAsia="ru-RU"/>
        </w:rPr>
        <w:t>н обеспечить</w:t>
      </w:r>
      <w:r w:rsidR="00C270FF" w:rsidRPr="00247DCB">
        <w:rPr>
          <w:rFonts w:ascii="Times New Roman" w:eastAsia="Times New Roman" w:hAnsi="Times New Roman" w:cs="Times New Roman"/>
          <w:bCs/>
          <w:sz w:val="24"/>
          <w:szCs w:val="24"/>
          <w:lang w:eastAsia="ru-RU"/>
        </w:rPr>
        <w:t>:</w:t>
      </w:r>
    </w:p>
    <w:p w:rsidR="00C270FF" w:rsidRPr="00247DCB" w:rsidRDefault="00C270FF" w:rsidP="00C4779E">
      <w:pPr>
        <w:pStyle w:val="a3"/>
        <w:numPr>
          <w:ilvl w:val="1"/>
          <w:numId w:val="2"/>
        </w:numPr>
        <w:spacing w:after="0" w:line="360" w:lineRule="auto"/>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roofErr w:type="gramEnd"/>
    </w:p>
    <w:p w:rsidR="00C270FF" w:rsidRPr="00247DCB" w:rsidRDefault="00C270FF" w:rsidP="00C4779E">
      <w:pPr>
        <w:pStyle w:val="a3"/>
        <w:numPr>
          <w:ilvl w:val="1"/>
          <w:numId w:val="2"/>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w:t>
      </w:r>
    </w:p>
    <w:p w:rsidR="00542BB5" w:rsidRPr="00247DCB" w:rsidRDefault="00081B6D" w:rsidP="007B473C">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 </w:t>
      </w:r>
      <w:r w:rsidR="00D959D3" w:rsidRPr="00247DCB">
        <w:rPr>
          <w:rFonts w:ascii="Times New Roman" w:eastAsia="Times New Roman" w:hAnsi="Times New Roman" w:cs="Times New Roman"/>
          <w:bCs/>
          <w:sz w:val="24"/>
          <w:szCs w:val="24"/>
          <w:lang w:eastAsia="ru-RU"/>
        </w:rPr>
        <w:t xml:space="preserve">этом в соответствии с </w:t>
      </w:r>
      <w:r w:rsidR="007610CF" w:rsidRPr="00247DCB">
        <w:rPr>
          <w:rFonts w:ascii="Times New Roman" w:eastAsia="Times New Roman" w:hAnsi="Times New Roman" w:cs="Times New Roman"/>
          <w:bCs/>
          <w:sz w:val="24"/>
          <w:szCs w:val="24"/>
          <w:lang w:eastAsia="ru-RU"/>
        </w:rPr>
        <w:t>п. 65 постановления Правительства РФ от 29 декабря 2011 г. №1178 «О ценообразовании в области регулируемых цен (тарифов) в электроэнергетике»</w:t>
      </w:r>
      <w:r w:rsidR="00D959D3" w:rsidRPr="00247DCB">
        <w:rPr>
          <w:rFonts w:ascii="Times New Roman" w:eastAsia="Times New Roman" w:hAnsi="Times New Roman" w:cs="Times New Roman"/>
          <w:bCs/>
          <w:sz w:val="24"/>
          <w:szCs w:val="24"/>
          <w:lang w:eastAsia="ru-RU"/>
        </w:rPr>
        <w:t xml:space="preserve"> и п. 11 приложения к  приказу ФСТ России от 30 октября 2012 г. № 703-э «Об утверждении методических указаний по расчёту сбытовых надбавок гарантирующих поставщиков и размера доходности </w:t>
      </w:r>
      <w:proofErr w:type="gramStart"/>
      <w:r w:rsidR="00D959D3" w:rsidRPr="00247DCB">
        <w:rPr>
          <w:rFonts w:ascii="Times New Roman" w:eastAsia="Times New Roman" w:hAnsi="Times New Roman" w:cs="Times New Roman"/>
          <w:bCs/>
          <w:sz w:val="24"/>
          <w:szCs w:val="24"/>
          <w:lang w:eastAsia="ru-RU"/>
        </w:rPr>
        <w:t>продаж</w:t>
      </w:r>
      <w:proofErr w:type="gramEnd"/>
      <w:r w:rsidR="00D959D3" w:rsidRPr="00247DCB">
        <w:rPr>
          <w:rFonts w:ascii="Times New Roman" w:eastAsia="Times New Roman" w:hAnsi="Times New Roman" w:cs="Times New Roman"/>
          <w:bCs/>
          <w:sz w:val="24"/>
          <w:szCs w:val="24"/>
          <w:lang w:eastAsia="ru-RU"/>
        </w:rPr>
        <w:t xml:space="preserve"> гарантирующих поставщиков»,</w:t>
      </w:r>
      <w:r w:rsidR="007B473C" w:rsidRPr="00247DCB">
        <w:rPr>
          <w:rFonts w:ascii="Times New Roman" w:eastAsia="Times New Roman" w:hAnsi="Times New Roman" w:cs="Times New Roman"/>
          <w:bCs/>
          <w:sz w:val="24"/>
          <w:szCs w:val="24"/>
          <w:lang w:eastAsia="ru-RU"/>
        </w:rPr>
        <w:t xml:space="preserve"> в составе экономически обоснованных расходов при расчете сбытовых надбавок  учитываются</w:t>
      </w:r>
      <w:r w:rsidR="00CD7003" w:rsidRPr="00247DCB">
        <w:rPr>
          <w:rFonts w:ascii="Times New Roman" w:eastAsia="Times New Roman" w:hAnsi="Times New Roman" w:cs="Times New Roman"/>
          <w:bCs/>
          <w:sz w:val="24"/>
          <w:szCs w:val="24"/>
          <w:lang w:eastAsia="ru-RU"/>
        </w:rPr>
        <w:t xml:space="preserve"> затраты</w:t>
      </w:r>
      <w:r w:rsidR="007B473C" w:rsidRPr="00247DCB">
        <w:rPr>
          <w:rFonts w:ascii="Times New Roman" w:eastAsia="Times New Roman" w:hAnsi="Times New Roman" w:cs="Times New Roman"/>
          <w:bCs/>
          <w:sz w:val="24"/>
          <w:szCs w:val="24"/>
          <w:lang w:eastAsia="ru-RU"/>
        </w:rPr>
        <w:t xml:space="preserve"> на обеспечение соблюдения стандартов по качеству обслуживания потребителей (покупателей) электрической энергии.</w:t>
      </w:r>
    </w:p>
    <w:p w:rsidR="00CD7003" w:rsidRPr="00247DCB" w:rsidRDefault="00CD7003" w:rsidP="007B473C">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реализации настоящего проекта обеспечение </w:t>
      </w:r>
      <w:r w:rsidR="00EF5BAA" w:rsidRPr="00247DCB">
        <w:rPr>
          <w:rFonts w:ascii="Times New Roman" w:eastAsia="Times New Roman" w:hAnsi="Times New Roman" w:cs="Times New Roman"/>
          <w:bCs/>
          <w:sz w:val="24"/>
          <w:szCs w:val="24"/>
          <w:lang w:eastAsia="ru-RU"/>
        </w:rPr>
        <w:t>соблюдений</w:t>
      </w:r>
      <w:r w:rsidRPr="00247DCB">
        <w:rPr>
          <w:rFonts w:ascii="Times New Roman" w:eastAsia="Times New Roman" w:hAnsi="Times New Roman" w:cs="Times New Roman"/>
          <w:bCs/>
          <w:sz w:val="24"/>
          <w:szCs w:val="24"/>
          <w:lang w:eastAsia="ru-RU"/>
        </w:rPr>
        <w:t xml:space="preserve"> качества обслуживания </w:t>
      </w:r>
      <w:r w:rsidR="00EF5BAA" w:rsidRPr="00247DCB">
        <w:rPr>
          <w:rFonts w:ascii="Times New Roman" w:eastAsia="Times New Roman" w:hAnsi="Times New Roman" w:cs="Times New Roman"/>
          <w:bCs/>
          <w:sz w:val="24"/>
          <w:szCs w:val="24"/>
          <w:lang w:eastAsia="ru-RU"/>
        </w:rPr>
        <w:t>потребителей</w:t>
      </w:r>
      <w:r w:rsidRPr="00247DCB">
        <w:rPr>
          <w:rFonts w:ascii="Times New Roman" w:eastAsia="Times New Roman" w:hAnsi="Times New Roman" w:cs="Times New Roman"/>
          <w:bCs/>
          <w:sz w:val="24"/>
          <w:szCs w:val="24"/>
          <w:lang w:eastAsia="ru-RU"/>
        </w:rPr>
        <w:t xml:space="preserve"> </w:t>
      </w:r>
      <w:r w:rsidR="00EF5BAA" w:rsidRPr="00247DCB">
        <w:rPr>
          <w:rFonts w:ascii="Times New Roman" w:eastAsia="Times New Roman" w:hAnsi="Times New Roman" w:cs="Times New Roman"/>
          <w:bCs/>
          <w:sz w:val="24"/>
          <w:szCs w:val="24"/>
          <w:lang w:eastAsia="ru-RU"/>
        </w:rPr>
        <w:t xml:space="preserve">на </w:t>
      </w:r>
      <w:r w:rsidR="003025A7" w:rsidRPr="00247DCB">
        <w:rPr>
          <w:rFonts w:ascii="Times New Roman" w:eastAsia="Times New Roman" w:hAnsi="Times New Roman" w:cs="Times New Roman"/>
          <w:bCs/>
          <w:sz w:val="24"/>
          <w:szCs w:val="24"/>
          <w:lang w:eastAsia="ru-RU"/>
        </w:rPr>
        <w:t>законодательно установленном уровне</w:t>
      </w:r>
      <w:proofErr w:type="gramStart"/>
      <w:r w:rsidR="003025A7" w:rsidRPr="00247DCB">
        <w:rPr>
          <w:rFonts w:ascii="Times New Roman" w:eastAsia="Times New Roman" w:hAnsi="Times New Roman" w:cs="Times New Roman"/>
          <w:bCs/>
          <w:sz w:val="24"/>
          <w:szCs w:val="24"/>
          <w:lang w:eastAsia="ru-RU"/>
        </w:rPr>
        <w:t xml:space="preserve"> </w:t>
      </w:r>
      <w:r w:rsidR="00EF5BAA" w:rsidRPr="00247DCB">
        <w:rPr>
          <w:rFonts w:ascii="Times New Roman" w:eastAsia="Times New Roman" w:hAnsi="Times New Roman" w:cs="Times New Roman"/>
          <w:bCs/>
          <w:sz w:val="24"/>
          <w:szCs w:val="24"/>
          <w:lang w:eastAsia="ru-RU"/>
        </w:rPr>
        <w:t>.</w:t>
      </w:r>
      <w:proofErr w:type="gramEnd"/>
      <w:r w:rsidR="00EF5BAA" w:rsidRPr="00247DCB">
        <w:rPr>
          <w:rFonts w:ascii="Times New Roman" w:eastAsia="Times New Roman" w:hAnsi="Times New Roman" w:cs="Times New Roman"/>
          <w:bCs/>
          <w:sz w:val="24"/>
          <w:szCs w:val="24"/>
          <w:lang w:eastAsia="ru-RU"/>
        </w:rPr>
        <w:t xml:space="preserve"> </w:t>
      </w:r>
    </w:p>
    <w:p w:rsidR="00290F91" w:rsidRPr="00247DCB" w:rsidRDefault="00EF5BAA" w:rsidP="00C4779E">
      <w:pPr>
        <w:spacing w:after="0" w:line="360" w:lineRule="auto"/>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Реализация </w:t>
      </w:r>
      <w:proofErr w:type="gramStart"/>
      <w:r w:rsidRPr="00247DCB">
        <w:rPr>
          <w:rFonts w:ascii="Times New Roman" w:eastAsia="Times New Roman" w:hAnsi="Times New Roman" w:cs="Times New Roman"/>
          <w:bCs/>
          <w:sz w:val="24"/>
          <w:szCs w:val="24"/>
          <w:lang w:eastAsia="ru-RU"/>
        </w:rPr>
        <w:t>данного</w:t>
      </w:r>
      <w:proofErr w:type="gram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мегапроекта</w:t>
      </w:r>
      <w:proofErr w:type="spellEnd"/>
      <w:r w:rsidRPr="00247DCB">
        <w:rPr>
          <w:rFonts w:ascii="Times New Roman" w:eastAsia="Times New Roman" w:hAnsi="Times New Roman" w:cs="Times New Roman"/>
          <w:bCs/>
          <w:sz w:val="24"/>
          <w:szCs w:val="24"/>
          <w:lang w:eastAsia="ru-RU"/>
        </w:rPr>
        <w:t xml:space="preserve"> предусматривает следующие категории проектов:</w:t>
      </w:r>
    </w:p>
    <w:p w:rsidR="00EF5BAA" w:rsidRPr="00247DCB" w:rsidRDefault="00EF5BAA" w:rsidP="00795579">
      <w:pPr>
        <w:pStyle w:val="a3"/>
        <w:numPr>
          <w:ilvl w:val="0"/>
          <w:numId w:val="10"/>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модернизация</w:t>
      </w:r>
      <w:r w:rsidR="009700A6" w:rsidRPr="00247DCB">
        <w:rPr>
          <w:rFonts w:ascii="Times New Roman" w:eastAsia="Times New Roman" w:hAnsi="Times New Roman" w:cs="Times New Roman"/>
          <w:bCs/>
          <w:sz w:val="24"/>
          <w:szCs w:val="24"/>
          <w:lang w:eastAsia="ru-RU"/>
        </w:rPr>
        <w:t xml:space="preserve"> системы ведения баз данных потребителей</w:t>
      </w:r>
      <w:r w:rsidRPr="00247DCB">
        <w:rPr>
          <w:rFonts w:ascii="Times New Roman" w:eastAsia="Times New Roman" w:hAnsi="Times New Roman" w:cs="Times New Roman"/>
          <w:bCs/>
          <w:sz w:val="24"/>
          <w:szCs w:val="24"/>
          <w:lang w:eastAsia="ru-RU"/>
        </w:rPr>
        <w:t>;</w:t>
      </w:r>
    </w:p>
    <w:p w:rsidR="00EF5BAA" w:rsidRPr="00247DCB" w:rsidRDefault="00EF5BAA" w:rsidP="00795579">
      <w:pPr>
        <w:pStyle w:val="a3"/>
        <w:numPr>
          <w:ilvl w:val="0"/>
          <w:numId w:val="10"/>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повышение качества обслуживания </w:t>
      </w:r>
      <w:r w:rsidR="009700A6" w:rsidRPr="00247DCB">
        <w:rPr>
          <w:rFonts w:ascii="Times New Roman" w:eastAsia="Times New Roman" w:hAnsi="Times New Roman" w:cs="Times New Roman"/>
          <w:bCs/>
          <w:sz w:val="24"/>
          <w:szCs w:val="24"/>
          <w:lang w:eastAsia="ru-RU"/>
        </w:rPr>
        <w:t>потребителей</w:t>
      </w:r>
      <w:r w:rsidRPr="00247DCB">
        <w:rPr>
          <w:rFonts w:ascii="Times New Roman" w:eastAsia="Times New Roman" w:hAnsi="Times New Roman" w:cs="Times New Roman"/>
          <w:bCs/>
          <w:sz w:val="24"/>
          <w:szCs w:val="24"/>
          <w:lang w:eastAsia="ru-RU"/>
        </w:rPr>
        <w:t>.</w:t>
      </w:r>
    </w:p>
    <w:p w:rsidR="00E83CC8" w:rsidRDefault="00E83CC8" w:rsidP="00E83CC8">
      <w:pPr>
        <w:pStyle w:val="a3"/>
        <w:spacing w:after="0" w:line="360" w:lineRule="auto"/>
        <w:jc w:val="both"/>
        <w:rPr>
          <w:rFonts w:ascii="Times New Roman" w:eastAsia="Times New Roman" w:hAnsi="Times New Roman" w:cs="Times New Roman"/>
          <w:bCs/>
          <w:sz w:val="24"/>
          <w:szCs w:val="24"/>
          <w:lang w:eastAsia="ru-RU"/>
        </w:rPr>
      </w:pPr>
    </w:p>
    <w:p w:rsidR="00247DCB" w:rsidRDefault="00247DCB" w:rsidP="00E83CC8">
      <w:pPr>
        <w:pStyle w:val="a3"/>
        <w:spacing w:after="0" w:line="360" w:lineRule="auto"/>
        <w:jc w:val="both"/>
        <w:rPr>
          <w:rFonts w:ascii="Times New Roman" w:eastAsia="Times New Roman" w:hAnsi="Times New Roman" w:cs="Times New Roman"/>
          <w:bCs/>
          <w:sz w:val="24"/>
          <w:szCs w:val="24"/>
          <w:lang w:eastAsia="ru-RU"/>
        </w:rPr>
      </w:pPr>
    </w:p>
    <w:p w:rsidR="00247DCB" w:rsidRDefault="00247DCB" w:rsidP="00E83CC8">
      <w:pPr>
        <w:pStyle w:val="a3"/>
        <w:spacing w:after="0" w:line="360" w:lineRule="auto"/>
        <w:jc w:val="both"/>
        <w:rPr>
          <w:rFonts w:ascii="Times New Roman" w:eastAsia="Times New Roman" w:hAnsi="Times New Roman" w:cs="Times New Roman"/>
          <w:bCs/>
          <w:sz w:val="24"/>
          <w:szCs w:val="24"/>
          <w:lang w:eastAsia="ru-RU"/>
        </w:rPr>
      </w:pPr>
    </w:p>
    <w:p w:rsidR="006D05AB" w:rsidRPr="00247DCB" w:rsidRDefault="00081B6D" w:rsidP="00C4779E">
      <w:pPr>
        <w:pStyle w:val="a3"/>
        <w:numPr>
          <w:ilvl w:val="1"/>
          <w:numId w:val="1"/>
        </w:numPr>
        <w:spacing w:after="0" w:line="360" w:lineRule="auto"/>
        <w:jc w:val="both"/>
        <w:rPr>
          <w:rFonts w:ascii="Times New Roman" w:eastAsia="Times New Roman" w:hAnsi="Times New Roman" w:cs="Times New Roman"/>
          <w:b/>
          <w:bCs/>
          <w:sz w:val="24"/>
          <w:szCs w:val="24"/>
          <w:u w:val="single"/>
          <w:lang w:eastAsia="ru-RU"/>
        </w:rPr>
      </w:pPr>
      <w:r w:rsidRPr="00247DCB">
        <w:rPr>
          <w:rFonts w:ascii="Times New Roman" w:eastAsia="Times New Roman" w:hAnsi="Times New Roman" w:cs="Times New Roman"/>
          <w:b/>
          <w:bCs/>
          <w:sz w:val="24"/>
          <w:szCs w:val="24"/>
          <w:u w:val="single"/>
          <w:lang w:eastAsia="ru-RU"/>
        </w:rPr>
        <w:lastRenderedPageBreak/>
        <w:t>Модернизация систем ведения баз данных потребителей</w:t>
      </w:r>
    </w:p>
    <w:p w:rsidR="0094522D" w:rsidRPr="00247DCB" w:rsidRDefault="00EF5BAA" w:rsidP="00C4779E">
      <w:pPr>
        <w:pStyle w:val="a3"/>
        <w:numPr>
          <w:ilvl w:val="2"/>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Создание средств защиты баз данных </w:t>
      </w:r>
      <w:r w:rsidR="009700A6" w:rsidRPr="00247DCB">
        <w:rPr>
          <w:rFonts w:ascii="Times New Roman" w:eastAsia="Times New Roman" w:hAnsi="Times New Roman" w:cs="Times New Roman"/>
          <w:b/>
          <w:bCs/>
          <w:sz w:val="24"/>
          <w:szCs w:val="24"/>
          <w:lang w:eastAsia="ru-RU"/>
        </w:rPr>
        <w:t>потребителей</w:t>
      </w:r>
      <w:r w:rsidRPr="00247DCB">
        <w:rPr>
          <w:rFonts w:ascii="Times New Roman" w:eastAsia="Times New Roman" w:hAnsi="Times New Roman" w:cs="Times New Roman"/>
          <w:b/>
          <w:bCs/>
          <w:sz w:val="24"/>
          <w:szCs w:val="24"/>
          <w:lang w:eastAsia="ru-RU"/>
        </w:rPr>
        <w:t xml:space="preserve"> – юридических лиц</w:t>
      </w:r>
    </w:p>
    <w:p w:rsidR="00EF5BAA" w:rsidRPr="00247DCB" w:rsidRDefault="00EF5BAA" w:rsidP="00795579">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создание средств защиты баз данных потребителей юридических лиц, соответствующих  требованиями законодательства Россий</w:t>
      </w:r>
      <w:r w:rsidR="00E83CC8" w:rsidRPr="00247DCB">
        <w:rPr>
          <w:rFonts w:ascii="Times New Roman" w:eastAsia="Times New Roman" w:hAnsi="Times New Roman" w:cs="Times New Roman"/>
          <w:bCs/>
          <w:sz w:val="24"/>
          <w:szCs w:val="24"/>
          <w:lang w:eastAsia="ru-RU"/>
        </w:rPr>
        <w:t>ской Федерации о защите данных.</w:t>
      </w:r>
    </w:p>
    <w:p w:rsidR="00EF5BAA" w:rsidRPr="00247DCB" w:rsidRDefault="00EF5BAA"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обеспечения информационной безопасности баз д</w:t>
      </w:r>
      <w:r w:rsidR="006A6C3B" w:rsidRPr="00247DCB">
        <w:rPr>
          <w:rFonts w:ascii="Times New Roman" w:eastAsia="Times New Roman" w:hAnsi="Times New Roman" w:cs="Times New Roman"/>
          <w:bCs/>
          <w:sz w:val="24"/>
          <w:szCs w:val="24"/>
          <w:lang w:eastAsia="ru-RU"/>
        </w:rPr>
        <w:t xml:space="preserve">анных потребителей (юридических </w:t>
      </w:r>
      <w:r w:rsidRPr="00247DCB">
        <w:rPr>
          <w:rFonts w:ascii="Times New Roman" w:eastAsia="Times New Roman" w:hAnsi="Times New Roman" w:cs="Times New Roman"/>
          <w:bCs/>
          <w:sz w:val="24"/>
          <w:szCs w:val="24"/>
          <w:lang w:eastAsia="ru-RU"/>
        </w:rPr>
        <w:t>лиц)</w:t>
      </w:r>
      <w:r w:rsidR="00DF0EBD" w:rsidRPr="00247DCB">
        <w:rPr>
          <w:rFonts w:ascii="Times New Roman" w:eastAsia="Times New Roman" w:hAnsi="Times New Roman" w:cs="Times New Roman"/>
          <w:bCs/>
          <w:sz w:val="24"/>
          <w:szCs w:val="24"/>
          <w:lang w:eastAsia="ru-RU"/>
        </w:rPr>
        <w:t xml:space="preserve"> и</w:t>
      </w:r>
      <w:r w:rsidRPr="00247DCB">
        <w:rPr>
          <w:rFonts w:ascii="Times New Roman" w:eastAsia="Times New Roman" w:hAnsi="Times New Roman" w:cs="Times New Roman"/>
          <w:bCs/>
          <w:sz w:val="24"/>
          <w:szCs w:val="24"/>
          <w:lang w:eastAsia="ru-RU"/>
        </w:rPr>
        <w:t xml:space="preserve">  </w:t>
      </w:r>
      <w:r w:rsidR="00DF0EBD" w:rsidRPr="00247DCB">
        <w:rPr>
          <w:rFonts w:ascii="Times New Roman" w:eastAsia="Times New Roman" w:hAnsi="Times New Roman" w:cs="Times New Roman"/>
          <w:bCs/>
          <w:sz w:val="24"/>
          <w:szCs w:val="24"/>
          <w:lang w:eastAsia="ru-RU"/>
        </w:rPr>
        <w:t xml:space="preserve">в соответствии с п. 11 приложения к  приказу ФСТ России от 30 октября 2012 г. № 703-э, </w:t>
      </w:r>
      <w:r w:rsidRPr="00247DCB">
        <w:rPr>
          <w:rFonts w:ascii="Times New Roman" w:eastAsia="Times New Roman" w:hAnsi="Times New Roman" w:cs="Times New Roman"/>
          <w:bCs/>
          <w:sz w:val="24"/>
          <w:szCs w:val="24"/>
          <w:lang w:eastAsia="ru-RU"/>
        </w:rPr>
        <w:t>должны выполняться следующие требования</w:t>
      </w:r>
      <w:r w:rsidR="00DF0EBD" w:rsidRPr="00247DCB">
        <w:rPr>
          <w:rFonts w:ascii="Times New Roman" w:eastAsia="Times New Roman" w:hAnsi="Times New Roman" w:cs="Times New Roman"/>
          <w:bCs/>
          <w:sz w:val="24"/>
          <w:szCs w:val="24"/>
          <w:lang w:eastAsia="ru-RU"/>
        </w:rPr>
        <w:t xml:space="preserve"> по</w:t>
      </w:r>
      <w:r w:rsidRPr="00247DCB">
        <w:rPr>
          <w:rFonts w:ascii="Times New Roman" w:eastAsia="Times New Roman" w:hAnsi="Times New Roman" w:cs="Times New Roman"/>
          <w:bCs/>
          <w:sz w:val="24"/>
          <w:szCs w:val="24"/>
          <w:lang w:eastAsia="ru-RU"/>
        </w:rPr>
        <w:t xml:space="preserve"> защите</w:t>
      </w:r>
      <w:r w:rsidR="00DF0EBD" w:rsidRPr="00247DCB">
        <w:rPr>
          <w:rFonts w:ascii="Times New Roman" w:eastAsia="Times New Roman" w:hAnsi="Times New Roman" w:cs="Times New Roman"/>
          <w:bCs/>
          <w:sz w:val="24"/>
          <w:szCs w:val="24"/>
          <w:lang w:eastAsia="ru-RU"/>
        </w:rPr>
        <w:t xml:space="preserve"> персональных данных</w:t>
      </w:r>
      <w:r w:rsidRPr="00247DCB">
        <w:rPr>
          <w:rFonts w:ascii="Times New Roman" w:eastAsia="Times New Roman" w:hAnsi="Times New Roman" w:cs="Times New Roman"/>
          <w:bCs/>
          <w:sz w:val="24"/>
          <w:szCs w:val="24"/>
          <w:lang w:eastAsia="ru-RU"/>
        </w:rPr>
        <w:t>:</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1) Идентификация и аутентификация субъектов доступа и объектов доступа.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Должна проводиться идентификация и аутентификация пользователей информационных систем, как при работе с базой данных, так и при доступе в операционную систему.</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2) Управление доступом субъектов доступа к объектам доступа.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зависимости от полномочий пользователя с использованием средств защиты информации должны разграничиваться права доступа пользователей к данным.</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3) Защита машинных носителей.</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обеспечение сохранности носителей.</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4) Регистрация событий безопасности.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Средствами защиты информации должны регистрироваться все события, которые могут классифицироваться как нарушение безопасности.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5) Антивирусная защита.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использоваться средства антивирусной защиты информации;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6) Контроль (анализ) защищенности данных.</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поиск уязвимостей в программном обеспечении информационной системы.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7)  Защита технических средств.</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обеспечение физической сохранности технических средств информационных систем.</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8)  Защита информационной системы, ее средств, систем связи и передачи данных.</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При передаче данных через сети, в том числе </w:t>
      </w:r>
      <w:r w:rsidR="00290F91" w:rsidRPr="00247DCB">
        <w:rPr>
          <w:rFonts w:ascii="Times New Roman" w:eastAsia="Times New Roman" w:hAnsi="Times New Roman" w:cs="Times New Roman"/>
          <w:bCs/>
          <w:sz w:val="24"/>
          <w:szCs w:val="24"/>
          <w:lang w:eastAsia="ru-RU"/>
        </w:rPr>
        <w:t xml:space="preserve">сеть </w:t>
      </w:r>
      <w:r w:rsidRPr="00247DCB">
        <w:rPr>
          <w:rFonts w:ascii="Times New Roman" w:eastAsia="Times New Roman" w:hAnsi="Times New Roman" w:cs="Times New Roman"/>
          <w:bCs/>
          <w:sz w:val="24"/>
          <w:szCs w:val="24"/>
          <w:lang w:eastAsia="ru-RU"/>
        </w:rPr>
        <w:t>Интернет, должна быть обеспечена защита локальной сети организации от внешнего вторжения.</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9) Управление конфигурацией информационной системы и системы защиты.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контролируемость изменений программной и технической составляющей информационной системы.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964FC6">
        <w:rPr>
          <w:rFonts w:ascii="Times New Roman" w:eastAsia="Times New Roman" w:hAnsi="Times New Roman" w:cs="Times New Roman"/>
          <w:bCs/>
          <w:sz w:val="24"/>
          <w:szCs w:val="24"/>
          <w:lang w:eastAsia="ru-RU"/>
        </w:rPr>
        <w:t>В настоящее время защита серверов баз данных, содержащих информацию об абонентах</w:t>
      </w:r>
      <w:r w:rsidR="00E83CC8" w:rsidRPr="00964FC6">
        <w:rPr>
          <w:rFonts w:ascii="Times New Roman" w:eastAsia="Times New Roman" w:hAnsi="Times New Roman" w:cs="Times New Roman"/>
          <w:bCs/>
          <w:sz w:val="24"/>
          <w:szCs w:val="24"/>
          <w:lang w:eastAsia="ru-RU"/>
        </w:rPr>
        <w:t xml:space="preserve"> </w:t>
      </w:r>
      <w:r w:rsidRPr="00964FC6">
        <w:rPr>
          <w:rFonts w:ascii="Times New Roman" w:eastAsia="Times New Roman" w:hAnsi="Times New Roman" w:cs="Times New Roman"/>
          <w:bCs/>
          <w:sz w:val="24"/>
          <w:szCs w:val="24"/>
          <w:lang w:eastAsia="ru-RU"/>
        </w:rPr>
        <w:t xml:space="preserve">- юридических лицах </w:t>
      </w:r>
      <w:r w:rsidR="00EF5BAA" w:rsidRPr="00964FC6">
        <w:rPr>
          <w:rFonts w:ascii="Times New Roman" w:eastAsia="Times New Roman" w:hAnsi="Times New Roman" w:cs="Times New Roman"/>
          <w:bCs/>
          <w:sz w:val="24"/>
          <w:szCs w:val="24"/>
          <w:lang w:eastAsia="ru-RU"/>
        </w:rPr>
        <w:t xml:space="preserve">выстроена таким образом, что </w:t>
      </w:r>
      <w:r w:rsidR="00DB35B5" w:rsidRPr="00964FC6">
        <w:rPr>
          <w:rFonts w:ascii="Times New Roman" w:eastAsia="Times New Roman" w:hAnsi="Times New Roman" w:cs="Times New Roman"/>
          <w:bCs/>
          <w:sz w:val="24"/>
          <w:szCs w:val="24"/>
          <w:lang w:eastAsia="ru-RU"/>
        </w:rPr>
        <w:t>допускает возможность негативного влияния внешней среды.</w:t>
      </w:r>
      <w:r w:rsidR="00DB35B5" w:rsidRPr="00247DCB">
        <w:rPr>
          <w:rFonts w:ascii="Times New Roman" w:eastAsia="Times New Roman" w:hAnsi="Times New Roman" w:cs="Times New Roman"/>
          <w:bCs/>
          <w:sz w:val="24"/>
          <w:szCs w:val="24"/>
          <w:lang w:eastAsia="ru-RU"/>
        </w:rPr>
        <w:t xml:space="preserve"> </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Внедрение комплекса </w:t>
      </w:r>
      <w:r w:rsidR="000D6D90" w:rsidRPr="00247DCB">
        <w:rPr>
          <w:rFonts w:ascii="Times New Roman" w:eastAsia="Times New Roman" w:hAnsi="Times New Roman" w:cs="Times New Roman"/>
          <w:bCs/>
          <w:sz w:val="24"/>
          <w:szCs w:val="24"/>
          <w:lang w:eastAsia="ru-RU"/>
        </w:rPr>
        <w:t xml:space="preserve">позволит снизить долю </w:t>
      </w:r>
      <w:r w:rsidRPr="00247DCB">
        <w:rPr>
          <w:rFonts w:ascii="Times New Roman" w:eastAsia="Times New Roman" w:hAnsi="Times New Roman" w:cs="Times New Roman"/>
          <w:bCs/>
          <w:sz w:val="24"/>
          <w:szCs w:val="24"/>
          <w:lang w:eastAsia="ru-RU"/>
        </w:rPr>
        <w:t>успешных атак на информационные системы общества на 93% и тем самым устранит риск утечки персональных данных потребителей.</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реализации проекта необходимо приобретение нового оборудования в количестве 2 ед. </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Вышеуказанное оборудование должно быть сертифицировано ФСТЭК России и должно отвечать следующим характеристикам: Обеспечение маршрутизации пакетов стека протоколов IP со скоростью присоединения 10 </w:t>
      </w:r>
      <w:proofErr w:type="spellStart"/>
      <w:r w:rsidRPr="00247DCB">
        <w:rPr>
          <w:rFonts w:ascii="Times New Roman" w:eastAsia="Times New Roman" w:hAnsi="Times New Roman" w:cs="Times New Roman"/>
          <w:bCs/>
          <w:sz w:val="24"/>
          <w:szCs w:val="24"/>
          <w:lang w:eastAsia="ru-RU"/>
        </w:rPr>
        <w:t>Гбт</w:t>
      </w:r>
      <w:proofErr w:type="spellEnd"/>
      <w:r w:rsidRPr="00247DCB">
        <w:rPr>
          <w:rFonts w:ascii="Times New Roman" w:eastAsia="Times New Roman" w:hAnsi="Times New Roman" w:cs="Times New Roman"/>
          <w:bCs/>
          <w:sz w:val="24"/>
          <w:szCs w:val="24"/>
          <w:lang w:eastAsia="ru-RU"/>
        </w:rPr>
        <w:t>/сек, обеспечение функций фильтрации трафика и обеспечения сетевой безопасности.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7338" w:type="dxa"/>
        <w:tblLook w:val="04A0" w:firstRow="1" w:lastRow="0" w:firstColumn="1" w:lastColumn="0" w:noHBand="0" w:noVBand="1"/>
      </w:tblPr>
      <w:tblGrid>
        <w:gridCol w:w="3720"/>
        <w:gridCol w:w="982"/>
        <w:gridCol w:w="2636"/>
      </w:tblGrid>
      <w:tr w:rsidR="00964062" w:rsidRPr="00247DCB" w:rsidTr="00964062">
        <w:tc>
          <w:tcPr>
            <w:tcW w:w="3720" w:type="dxa"/>
            <w:vMerge w:val="restart"/>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Merge w:val="restart"/>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2636" w:type="dxa"/>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Период реализации</w:t>
            </w:r>
          </w:p>
        </w:tc>
      </w:tr>
      <w:tr w:rsidR="00964062" w:rsidRPr="00247DCB" w:rsidTr="00964062">
        <w:trPr>
          <w:trHeight w:val="114"/>
        </w:trPr>
        <w:tc>
          <w:tcPr>
            <w:tcW w:w="3720" w:type="dxa"/>
            <w:vMerge/>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p>
        </w:tc>
        <w:tc>
          <w:tcPr>
            <w:tcW w:w="982" w:type="dxa"/>
            <w:vMerge/>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p>
        </w:tc>
        <w:tc>
          <w:tcPr>
            <w:tcW w:w="2636" w:type="dxa"/>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r>
      <w:tr w:rsidR="00CB419F" w:rsidRPr="00247DCB" w:rsidTr="00964062">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45 967</w:t>
            </w:r>
          </w:p>
        </w:tc>
        <w:tc>
          <w:tcPr>
            <w:tcW w:w="2636"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45 967</w:t>
            </w:r>
          </w:p>
        </w:tc>
      </w:tr>
      <w:tr w:rsidR="00CB419F" w:rsidRPr="00247DCB" w:rsidTr="00964062">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45 967</w:t>
            </w:r>
          </w:p>
        </w:tc>
        <w:tc>
          <w:tcPr>
            <w:tcW w:w="263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45 967</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6D05AB" w:rsidRPr="00247DCB" w:rsidRDefault="006D05AB" w:rsidP="00C4779E">
      <w:pPr>
        <w:pStyle w:val="a3"/>
        <w:numPr>
          <w:ilvl w:val="2"/>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Увеличение ёмкости системы хранения данных </w:t>
      </w:r>
    </w:p>
    <w:p w:rsidR="00DB35B5" w:rsidRPr="00247DCB" w:rsidRDefault="00DB35B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создание системы хранения баз данных, обеспечивающей возможность хранения  информации в объёмах и сроках, установленных действующей нормативно-правовой базой</w:t>
      </w:r>
    </w:p>
    <w:p w:rsidR="00DB35B5" w:rsidRPr="00247DCB" w:rsidRDefault="00DB35B5"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Объём информации, необходимой для осуществления расчётов с потребителями, за период 2014-2015 </w:t>
      </w:r>
      <w:proofErr w:type="spellStart"/>
      <w:proofErr w:type="gramStart"/>
      <w:r w:rsidRPr="00247DCB">
        <w:rPr>
          <w:rFonts w:ascii="Times New Roman" w:eastAsia="Times New Roman" w:hAnsi="Times New Roman" w:cs="Times New Roman"/>
          <w:bCs/>
          <w:sz w:val="24"/>
          <w:szCs w:val="24"/>
          <w:lang w:eastAsia="ru-RU"/>
        </w:rPr>
        <w:t>гг</w:t>
      </w:r>
      <w:proofErr w:type="spellEnd"/>
      <w:proofErr w:type="gramEnd"/>
      <w:r w:rsidRPr="00247DCB">
        <w:rPr>
          <w:rFonts w:ascii="Times New Roman" w:eastAsia="Times New Roman" w:hAnsi="Times New Roman" w:cs="Times New Roman"/>
          <w:bCs/>
          <w:sz w:val="24"/>
          <w:szCs w:val="24"/>
          <w:lang w:eastAsia="ru-RU"/>
        </w:rPr>
        <w:t xml:space="preserve"> существенно вырос, что связано с:</w:t>
      </w:r>
    </w:p>
    <w:p w:rsidR="005F44D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а) введением расчётов за электроэнергию, потребляемую на общедомовые нужды (Постановление правительства от 06.05.2011 №354), что привело к необходимости наполнения базы сведениями об общедомо</w:t>
      </w:r>
      <w:r w:rsidR="000D6D90" w:rsidRPr="00247DCB">
        <w:rPr>
          <w:rFonts w:ascii="Times New Roman" w:eastAsia="Times New Roman" w:hAnsi="Times New Roman" w:cs="Times New Roman"/>
          <w:bCs/>
          <w:sz w:val="24"/>
          <w:szCs w:val="24"/>
          <w:lang w:eastAsia="ru-RU"/>
        </w:rPr>
        <w:t>во</w:t>
      </w:r>
      <w:r w:rsidRPr="00247DCB">
        <w:rPr>
          <w:rFonts w:ascii="Times New Roman" w:eastAsia="Times New Roman" w:hAnsi="Times New Roman" w:cs="Times New Roman"/>
          <w:bCs/>
          <w:sz w:val="24"/>
          <w:szCs w:val="24"/>
          <w:lang w:eastAsia="ru-RU"/>
        </w:rPr>
        <w:t>й площади помещений, а так же удвоило объём  хранимой информации о расчётах с потребителями</w:t>
      </w:r>
      <w:r w:rsidR="005F44DF" w:rsidRPr="00247DCB">
        <w:rPr>
          <w:rFonts w:ascii="Times New Roman" w:eastAsia="Times New Roman" w:hAnsi="Times New Roman" w:cs="Times New Roman"/>
          <w:bCs/>
          <w:sz w:val="24"/>
          <w:szCs w:val="24"/>
          <w:lang w:eastAsia="ru-RU"/>
        </w:rPr>
        <w:t>, так как по каждому счёту хранятся данные об индивидуальном и общедомовом потреблении;</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б) начислением пени для потребителей - физических лиц в случае просрочки платежа (Федеральный закон от 03.11.2015 №307-ФЗ)</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начислением законных процентов потребителям - юридическим лицам (</w:t>
      </w:r>
      <w:proofErr w:type="spellStart"/>
      <w:proofErr w:type="gramStart"/>
      <w:r w:rsidRPr="00247DCB">
        <w:rPr>
          <w:rFonts w:ascii="Times New Roman" w:eastAsia="Times New Roman" w:hAnsi="Times New Roman" w:cs="Times New Roman"/>
          <w:bCs/>
          <w:sz w:val="24"/>
          <w:szCs w:val="24"/>
          <w:lang w:eastAsia="ru-RU"/>
        </w:rPr>
        <w:t>ст</w:t>
      </w:r>
      <w:proofErr w:type="spellEnd"/>
      <w:proofErr w:type="gramEnd"/>
      <w:r w:rsidRPr="00247DCB">
        <w:rPr>
          <w:rFonts w:ascii="Times New Roman" w:eastAsia="Times New Roman" w:hAnsi="Times New Roman" w:cs="Times New Roman"/>
          <w:bCs/>
          <w:sz w:val="24"/>
          <w:szCs w:val="24"/>
          <w:lang w:eastAsia="ru-RU"/>
        </w:rPr>
        <w:t xml:space="preserve"> 317.1 ГК РФ)</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рост числа потребителей - физических и  юридических лиц.</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целей взаимодействия с потребителями (проведение расчётов, подготовка ответов на запросы)</w:t>
      </w:r>
      <w:r w:rsidR="00DF0EBD" w:rsidRPr="00247DCB">
        <w:rPr>
          <w:rFonts w:ascii="Times New Roman" w:hAnsi="Times New Roman" w:cs="Times New Roman"/>
          <w:sz w:val="24"/>
          <w:szCs w:val="24"/>
        </w:rPr>
        <w:t xml:space="preserve"> и в </w:t>
      </w:r>
      <w:r w:rsidR="00DF0EBD" w:rsidRPr="00247DCB">
        <w:rPr>
          <w:rFonts w:ascii="Times New Roman" w:eastAsia="Times New Roman" w:hAnsi="Times New Roman" w:cs="Times New Roman"/>
          <w:bCs/>
          <w:sz w:val="24"/>
          <w:szCs w:val="24"/>
          <w:lang w:eastAsia="ru-RU"/>
        </w:rPr>
        <w:t xml:space="preserve">соответствии с п. 11 приложения к  приказу ФСТ России от 30 октября 2012 г. № 703-э, </w:t>
      </w:r>
      <w:r w:rsidRPr="00247DCB">
        <w:rPr>
          <w:rFonts w:ascii="Times New Roman" w:eastAsia="Times New Roman" w:hAnsi="Times New Roman" w:cs="Times New Roman"/>
          <w:bCs/>
          <w:sz w:val="24"/>
          <w:szCs w:val="24"/>
          <w:lang w:eastAsia="ru-RU"/>
        </w:rPr>
        <w:t xml:space="preserve"> Общество обязано хранить всю </w:t>
      </w:r>
      <w:r w:rsidR="00E83CC8" w:rsidRPr="00247DCB">
        <w:rPr>
          <w:rFonts w:ascii="Times New Roman" w:eastAsia="Times New Roman" w:hAnsi="Times New Roman" w:cs="Times New Roman"/>
          <w:bCs/>
          <w:sz w:val="24"/>
          <w:szCs w:val="24"/>
          <w:lang w:eastAsia="ru-RU"/>
        </w:rPr>
        <w:t>информацию</w:t>
      </w:r>
      <w:r w:rsidRPr="00247DCB">
        <w:rPr>
          <w:rFonts w:ascii="Times New Roman" w:eastAsia="Times New Roman" w:hAnsi="Times New Roman" w:cs="Times New Roman"/>
          <w:bCs/>
          <w:sz w:val="24"/>
          <w:szCs w:val="24"/>
          <w:lang w:eastAsia="ru-RU"/>
        </w:rPr>
        <w:t xml:space="preserve"> о договорных отношениях, о расчётах с потребителями,  о точках присоединения потребителя к сетям ТСО и пр. В соответствии с действующими нормативно-правовыми </w:t>
      </w:r>
      <w:r w:rsidR="00DF0EBD" w:rsidRPr="00247DCB">
        <w:rPr>
          <w:rFonts w:ascii="Times New Roman" w:eastAsia="Times New Roman" w:hAnsi="Times New Roman" w:cs="Times New Roman"/>
          <w:bCs/>
          <w:sz w:val="24"/>
          <w:szCs w:val="24"/>
          <w:lang w:eastAsia="ru-RU"/>
        </w:rPr>
        <w:t>актами</w:t>
      </w:r>
      <w:r w:rsidRPr="00247DCB">
        <w:rPr>
          <w:rFonts w:ascii="Times New Roman" w:eastAsia="Times New Roman" w:hAnsi="Times New Roman" w:cs="Times New Roman"/>
          <w:bCs/>
          <w:sz w:val="24"/>
          <w:szCs w:val="24"/>
          <w:lang w:eastAsia="ru-RU"/>
        </w:rPr>
        <w:t xml:space="preserve"> Общество обязано обеспечить надлежащее хранение информации о взаиморасчётах  с потребителями сроком не менее 5 лет (ст.29 Федерального закона от 06.12.2011 №402)</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 настоящее время установленная ёмкость системы хранения данных (СХД) составляет 18 ТВ.  Текущее заполнение СХД - 95%. Такое состояние системы ставит под угрозу непрерывность рабочего процесса.  </w:t>
      </w:r>
    </w:p>
    <w:p w:rsidR="005F44DF" w:rsidRPr="00247DCB" w:rsidRDefault="005F44D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реализации проекта необходимо приобретение дополнительных полок VNX 25X2.5 IN 6GB SAS в комплекте</w:t>
      </w:r>
      <w:proofErr w:type="gramStart"/>
      <w:r w:rsidRPr="00247DCB">
        <w:rPr>
          <w:rFonts w:ascii="Times New Roman" w:eastAsia="Times New Roman" w:hAnsi="Times New Roman" w:cs="Times New Roman"/>
          <w:bCs/>
          <w:sz w:val="24"/>
          <w:szCs w:val="24"/>
          <w:lang w:eastAsia="ru-RU"/>
        </w:rPr>
        <w:t xml:space="preserve"> ,</w:t>
      </w:r>
      <w:proofErr w:type="gramEnd"/>
      <w:r w:rsidRPr="00247DCB">
        <w:rPr>
          <w:rFonts w:ascii="Times New Roman" w:eastAsia="Times New Roman" w:hAnsi="Times New Roman" w:cs="Times New Roman"/>
          <w:bCs/>
          <w:sz w:val="24"/>
          <w:szCs w:val="24"/>
          <w:lang w:eastAsia="ru-RU"/>
        </w:rPr>
        <w:t xml:space="preserve"> в количестве 2 ед., </w:t>
      </w:r>
    </w:p>
    <w:p w:rsidR="006D05AB" w:rsidRPr="00247DCB" w:rsidRDefault="006D05AB" w:rsidP="00C4779E">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5681" w:type="dxa"/>
        <w:tblLook w:val="04A0" w:firstRow="1" w:lastRow="0" w:firstColumn="1" w:lastColumn="0" w:noHBand="0" w:noVBand="1"/>
      </w:tblPr>
      <w:tblGrid>
        <w:gridCol w:w="3720"/>
        <w:gridCol w:w="982"/>
        <w:gridCol w:w="979"/>
      </w:tblGrid>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21 940</w:t>
            </w:r>
          </w:p>
        </w:tc>
        <w:tc>
          <w:tcPr>
            <w:tcW w:w="979"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21 940</w:t>
            </w:r>
          </w:p>
        </w:tc>
      </w:tr>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21 940</w:t>
            </w:r>
          </w:p>
        </w:tc>
        <w:tc>
          <w:tcPr>
            <w:tcW w:w="979"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21 940</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4522D" w:rsidRPr="00247DCB" w:rsidRDefault="00597E3E" w:rsidP="00C4779E">
      <w:pPr>
        <w:pStyle w:val="a3"/>
        <w:numPr>
          <w:ilvl w:val="2"/>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Создание системы резервного копирования на предприятии</w:t>
      </w:r>
    </w:p>
    <w:p w:rsidR="005F44DF" w:rsidRPr="00247DCB" w:rsidRDefault="005F44DF" w:rsidP="00795579">
      <w:pPr>
        <w:pStyle w:val="a3"/>
        <w:spacing w:after="0" w:line="360" w:lineRule="auto"/>
        <w:ind w:left="0"/>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создание системы резервного копирования данных на предприятии, повышение надёжности хранения баз данных. </w:t>
      </w:r>
    </w:p>
    <w:p w:rsidR="005F44DF" w:rsidRPr="00247DCB" w:rsidRDefault="005F44DF" w:rsidP="00795579">
      <w:pPr>
        <w:pStyle w:val="a3"/>
        <w:spacing w:after="0" w:line="360" w:lineRule="auto"/>
        <w:ind w:left="1800"/>
        <w:jc w:val="both"/>
        <w:rPr>
          <w:rFonts w:ascii="Times New Roman" w:eastAsia="Times New Roman" w:hAnsi="Times New Roman" w:cs="Times New Roman"/>
          <w:b/>
          <w:bCs/>
          <w:sz w:val="24"/>
          <w:szCs w:val="24"/>
          <w:lang w:eastAsia="ru-RU"/>
        </w:rPr>
      </w:pPr>
    </w:p>
    <w:p w:rsidR="00597E3E" w:rsidRPr="00247DCB" w:rsidRDefault="00597E3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Система резервного копирования и восстановления данных - это программный или программно-аппаратный комплекс для создания копий данных с определенной периодичностью для их последующего восстановления. Помимо защиты от потери данных системы резервного копирования также позволяют обеспечить организовать непрерывность работы сотрудников за счет быстрого восстановления операционной системы (при наличии ее образа) или восстановления данных на другом компьютере.</w:t>
      </w:r>
    </w:p>
    <w:p w:rsidR="00A26509" w:rsidRPr="00247DCB" w:rsidRDefault="00A26509"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Резервное копирование в Обществе не осуществляется.</w:t>
      </w:r>
      <w:r w:rsidR="00E83CC8" w:rsidRPr="00247DCB">
        <w:rPr>
          <w:rFonts w:ascii="Times New Roman" w:eastAsia="Times New Roman" w:hAnsi="Times New Roman" w:cs="Times New Roman"/>
          <w:bCs/>
          <w:sz w:val="24"/>
          <w:szCs w:val="24"/>
          <w:lang w:eastAsia="ru-RU"/>
        </w:rPr>
        <w:t xml:space="preserve"> </w:t>
      </w:r>
      <w:r w:rsidR="00597E3E" w:rsidRPr="00247DCB">
        <w:rPr>
          <w:rFonts w:ascii="Times New Roman" w:eastAsia="Times New Roman" w:hAnsi="Times New Roman" w:cs="Times New Roman"/>
          <w:bCs/>
          <w:sz w:val="24"/>
          <w:szCs w:val="24"/>
          <w:lang w:eastAsia="ru-RU"/>
        </w:rPr>
        <w:t xml:space="preserve">Это ведёт к тому, что в случае сбоя в основной системе возникает вероятность потери данных технологических задач за весь период их эксплуатации и невозможности их восстановления, что в свою </w:t>
      </w:r>
      <w:r w:rsidR="00597E3E" w:rsidRPr="00247DCB">
        <w:rPr>
          <w:rFonts w:ascii="Times New Roman" w:eastAsia="Times New Roman" w:hAnsi="Times New Roman" w:cs="Times New Roman"/>
          <w:bCs/>
          <w:sz w:val="24"/>
          <w:szCs w:val="24"/>
          <w:lang w:eastAsia="ru-RU"/>
        </w:rPr>
        <w:lastRenderedPageBreak/>
        <w:t xml:space="preserve">очередь приводит к невозможности осуществления расчётов с потребителями. </w:t>
      </w:r>
      <w:r w:rsidRPr="00247DCB">
        <w:rPr>
          <w:rFonts w:ascii="Times New Roman" w:eastAsia="Times New Roman" w:hAnsi="Times New Roman" w:cs="Times New Roman"/>
          <w:bCs/>
          <w:sz w:val="24"/>
          <w:szCs w:val="24"/>
          <w:lang w:eastAsia="ru-RU"/>
        </w:rPr>
        <w:t xml:space="preserve">При  этом гарантирующий поставщик в силу действующих </w:t>
      </w:r>
      <w:r w:rsidR="00C4779E" w:rsidRPr="00247DCB">
        <w:rPr>
          <w:rFonts w:ascii="Times New Roman" w:eastAsia="Times New Roman" w:hAnsi="Times New Roman" w:cs="Times New Roman"/>
          <w:bCs/>
          <w:sz w:val="24"/>
          <w:szCs w:val="24"/>
          <w:lang w:eastAsia="ru-RU"/>
        </w:rPr>
        <w:t xml:space="preserve">нормативно-правовых актов </w:t>
      </w:r>
      <w:r w:rsidRPr="00247DCB">
        <w:rPr>
          <w:rFonts w:ascii="Times New Roman" w:eastAsia="Times New Roman" w:hAnsi="Times New Roman" w:cs="Times New Roman"/>
          <w:bCs/>
          <w:sz w:val="24"/>
          <w:szCs w:val="24"/>
          <w:lang w:eastAsia="ru-RU"/>
        </w:rPr>
        <w:t>обязан обеспечить хранение информации о расчетах с потребителями, а также о договорных отношения на срок не менее пяти лет</w:t>
      </w:r>
      <w:r w:rsidR="00C4779E" w:rsidRPr="00247DCB">
        <w:rPr>
          <w:rFonts w:ascii="Times New Roman" w:eastAsia="Times New Roman" w:hAnsi="Times New Roman" w:cs="Times New Roman"/>
          <w:bCs/>
          <w:sz w:val="24"/>
          <w:szCs w:val="24"/>
          <w:lang w:eastAsia="ru-RU"/>
        </w:rPr>
        <w:t xml:space="preserve">. </w:t>
      </w:r>
    </w:p>
    <w:p w:rsidR="00C4779E" w:rsidRPr="00247DCB" w:rsidRDefault="00C4779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организации системы резервного копирования, позволяющей</w:t>
      </w:r>
      <w:r w:rsidR="00A26509"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выполнять требования, продиктованные действующим законодательством по работе с базами данных потребителей</w:t>
      </w:r>
      <w:r w:rsidR="00964062" w:rsidRPr="00247DCB">
        <w:rPr>
          <w:rFonts w:ascii="Times New Roman" w:eastAsia="Times New Roman" w:hAnsi="Times New Roman" w:cs="Times New Roman"/>
          <w:bCs/>
          <w:sz w:val="24"/>
          <w:szCs w:val="24"/>
          <w:lang w:eastAsia="ru-RU"/>
        </w:rPr>
        <w:t>,</w:t>
      </w:r>
      <w:r w:rsidRPr="00247DCB">
        <w:rPr>
          <w:rFonts w:ascii="Times New Roman" w:eastAsia="Times New Roman" w:hAnsi="Times New Roman" w:cs="Times New Roman"/>
          <w:bCs/>
          <w:sz w:val="24"/>
          <w:szCs w:val="24"/>
          <w:lang w:eastAsia="ru-RU"/>
        </w:rPr>
        <w:t xml:space="preserve"> </w:t>
      </w:r>
      <w:r w:rsidR="005F44DF" w:rsidRPr="00247DCB">
        <w:rPr>
          <w:rFonts w:ascii="Times New Roman" w:eastAsia="Times New Roman" w:hAnsi="Times New Roman" w:cs="Times New Roman"/>
          <w:bCs/>
          <w:sz w:val="24"/>
          <w:szCs w:val="24"/>
          <w:lang w:eastAsia="ru-RU"/>
        </w:rPr>
        <w:t>будут про</w:t>
      </w:r>
      <w:r w:rsidR="00E83CC8" w:rsidRPr="00247DCB">
        <w:rPr>
          <w:rFonts w:ascii="Times New Roman" w:eastAsia="Times New Roman" w:hAnsi="Times New Roman" w:cs="Times New Roman"/>
          <w:bCs/>
          <w:sz w:val="24"/>
          <w:szCs w:val="24"/>
          <w:lang w:eastAsia="ru-RU"/>
        </w:rPr>
        <w:t>в</w:t>
      </w:r>
      <w:r w:rsidR="005F44DF" w:rsidRPr="00247DCB">
        <w:rPr>
          <w:rFonts w:ascii="Times New Roman" w:eastAsia="Times New Roman" w:hAnsi="Times New Roman" w:cs="Times New Roman"/>
          <w:bCs/>
          <w:sz w:val="24"/>
          <w:szCs w:val="24"/>
          <w:lang w:eastAsia="ru-RU"/>
        </w:rPr>
        <w:t>едены следующие мероприятия:</w:t>
      </w:r>
    </w:p>
    <w:p w:rsidR="005F44DF" w:rsidRPr="00247DCB" w:rsidRDefault="005F44DF" w:rsidP="005F44DF">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1. Создание системы резервного копирования с хранением информации на жёстких дисках с функцией дедуплицирования (уничтожения дубликатов). </w:t>
      </w:r>
    </w:p>
    <w:p w:rsidR="005F44DF" w:rsidRPr="00247DCB" w:rsidRDefault="005F44DF" w:rsidP="005F44DF">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Необходимо приобретение оборудования EMC </w:t>
      </w:r>
      <w:proofErr w:type="spellStart"/>
      <w:r w:rsidRPr="00247DCB">
        <w:rPr>
          <w:rFonts w:ascii="Times New Roman" w:eastAsia="Times New Roman" w:hAnsi="Times New Roman" w:cs="Times New Roman"/>
          <w:bCs/>
          <w:sz w:val="24"/>
          <w:szCs w:val="24"/>
          <w:lang w:eastAsia="ru-RU"/>
        </w:rPr>
        <w:t>DataDomain</w:t>
      </w:r>
      <w:proofErr w:type="spellEnd"/>
      <w:r w:rsidRPr="00247DCB">
        <w:rPr>
          <w:rFonts w:ascii="Times New Roman" w:eastAsia="Times New Roman" w:hAnsi="Times New Roman" w:cs="Times New Roman"/>
          <w:bCs/>
          <w:sz w:val="24"/>
          <w:szCs w:val="24"/>
          <w:lang w:eastAsia="ru-RU"/>
        </w:rPr>
        <w:t xml:space="preserve"> 4200, программное обеспечение  </w:t>
      </w:r>
      <w:proofErr w:type="spellStart"/>
      <w:r w:rsidRPr="00247DCB">
        <w:rPr>
          <w:rFonts w:ascii="Times New Roman" w:eastAsia="Times New Roman" w:hAnsi="Times New Roman" w:cs="Times New Roman"/>
          <w:bCs/>
          <w:sz w:val="24"/>
          <w:szCs w:val="24"/>
          <w:lang w:eastAsia="ru-RU"/>
        </w:rPr>
        <w:t>Veritas</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Net</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Backup</w:t>
      </w:r>
      <w:proofErr w:type="spellEnd"/>
      <w:r w:rsidRPr="00247DCB">
        <w:rPr>
          <w:rFonts w:ascii="Times New Roman" w:eastAsia="Times New Roman" w:hAnsi="Times New Roman" w:cs="Times New Roman"/>
          <w:bCs/>
          <w:sz w:val="24"/>
          <w:szCs w:val="24"/>
          <w:lang w:eastAsia="ru-RU"/>
        </w:rPr>
        <w:t>.</w:t>
      </w:r>
    </w:p>
    <w:p w:rsidR="005F44DF" w:rsidRPr="00247DCB" w:rsidRDefault="005F44DF" w:rsidP="005F44DF">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2. Создание удалённого носителя резервных копий, так как для надёжного резервного копирования технологической информации, носитель резервных копий должен быть географически удалён от источника данных. В настоящее время удалённое резервное копирование не осуществляется, что влечёт за собой риск утери данных в случае физического повреждения локальных резервных хранилищ.</w:t>
      </w:r>
    </w:p>
    <w:p w:rsidR="005F44DF" w:rsidRPr="00247DCB" w:rsidRDefault="005F44DF" w:rsidP="005F44DF">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Необходимо приобретение FC-коммутатора в количестве 2 ед. Минимальные требования к данному оборудованию  следующие: 16 портов FC, резервируемый блок питания.</w:t>
      </w:r>
    </w:p>
    <w:p w:rsidR="00597E3E" w:rsidRPr="00247DCB" w:rsidRDefault="00597E3E" w:rsidP="00C4779E">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9545" w:type="dxa"/>
        <w:tblLook w:val="04A0" w:firstRow="1" w:lastRow="0" w:firstColumn="1" w:lastColumn="0" w:noHBand="0" w:noVBand="1"/>
      </w:tblPr>
      <w:tblGrid>
        <w:gridCol w:w="3720"/>
        <w:gridCol w:w="982"/>
        <w:gridCol w:w="979"/>
        <w:gridCol w:w="966"/>
        <w:gridCol w:w="966"/>
        <w:gridCol w:w="966"/>
        <w:gridCol w:w="966"/>
      </w:tblGrid>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c>
          <w:tcPr>
            <w:tcW w:w="966" w:type="dxa"/>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2022</w:t>
            </w:r>
          </w:p>
        </w:tc>
        <w:tc>
          <w:tcPr>
            <w:tcW w:w="966" w:type="dxa"/>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2023</w:t>
            </w:r>
          </w:p>
        </w:tc>
      </w:tr>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70 585</w:t>
            </w:r>
          </w:p>
        </w:tc>
        <w:tc>
          <w:tcPr>
            <w:tcW w:w="979"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43 281</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6 826</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6 826</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6 826</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6 826</w:t>
            </w:r>
          </w:p>
        </w:tc>
      </w:tr>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36</w:t>
            </w:r>
            <w:r w:rsidR="00964062" w:rsidRPr="00247DCB">
              <w:rPr>
                <w:rFonts w:ascii="Times New Roman" w:eastAsia="Times New Roman" w:hAnsi="Times New Roman" w:cs="Times New Roman"/>
                <w:bCs/>
                <w:sz w:val="20"/>
                <w:szCs w:val="20"/>
                <w:lang w:eastAsia="ru-RU"/>
              </w:rPr>
              <w:t xml:space="preserve"> </w:t>
            </w:r>
            <w:r w:rsidRPr="00247DCB">
              <w:rPr>
                <w:rFonts w:ascii="Times New Roman" w:eastAsia="Times New Roman" w:hAnsi="Times New Roman" w:cs="Times New Roman"/>
                <w:bCs/>
                <w:sz w:val="20"/>
                <w:szCs w:val="20"/>
                <w:lang w:eastAsia="ru-RU"/>
              </w:rPr>
              <w:t>455</w:t>
            </w:r>
          </w:p>
        </w:tc>
        <w:tc>
          <w:tcPr>
            <w:tcW w:w="979"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36 455</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p>
        </w:tc>
      </w:tr>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34 130</w:t>
            </w:r>
          </w:p>
        </w:tc>
        <w:tc>
          <w:tcPr>
            <w:tcW w:w="979"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c>
          <w:tcPr>
            <w:tcW w:w="966"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6D05AB" w:rsidRPr="00247DCB" w:rsidRDefault="006D05AB" w:rsidP="00C4779E">
      <w:pPr>
        <w:pStyle w:val="a3"/>
        <w:numPr>
          <w:ilvl w:val="1"/>
          <w:numId w:val="1"/>
        </w:numPr>
        <w:spacing w:after="0" w:line="360" w:lineRule="auto"/>
        <w:jc w:val="both"/>
        <w:rPr>
          <w:rFonts w:ascii="Times New Roman" w:eastAsia="Times New Roman" w:hAnsi="Times New Roman" w:cs="Times New Roman"/>
          <w:b/>
          <w:bCs/>
          <w:sz w:val="24"/>
          <w:szCs w:val="24"/>
          <w:u w:val="single"/>
          <w:lang w:eastAsia="ru-RU"/>
        </w:rPr>
      </w:pPr>
      <w:r w:rsidRPr="00247DCB">
        <w:rPr>
          <w:rFonts w:ascii="Times New Roman" w:eastAsia="Times New Roman" w:hAnsi="Times New Roman" w:cs="Times New Roman"/>
          <w:b/>
          <w:bCs/>
          <w:sz w:val="24"/>
          <w:szCs w:val="24"/>
          <w:u w:val="single"/>
          <w:lang w:eastAsia="ru-RU"/>
        </w:rPr>
        <w:t>Повышение качества обслуживания потребителей</w:t>
      </w:r>
    </w:p>
    <w:p w:rsidR="00B46C10" w:rsidRPr="00247DCB" w:rsidRDefault="00DF0A57"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На основании действующих нормативно-правовых актов, Общество должно обеспечить клиентам выбор любого из трех каналов связи </w:t>
      </w:r>
      <w:r w:rsidR="00B46C10" w:rsidRPr="00247DCB">
        <w:rPr>
          <w:rFonts w:ascii="Times New Roman" w:eastAsia="Times New Roman" w:hAnsi="Times New Roman" w:cs="Times New Roman"/>
          <w:bCs/>
          <w:sz w:val="24"/>
          <w:szCs w:val="24"/>
          <w:lang w:eastAsia="ru-RU"/>
        </w:rPr>
        <w:t xml:space="preserve">(очного, заочного, интерактивного) </w:t>
      </w:r>
      <w:r w:rsidRPr="00247DCB">
        <w:rPr>
          <w:rFonts w:ascii="Times New Roman" w:eastAsia="Times New Roman" w:hAnsi="Times New Roman" w:cs="Times New Roman"/>
          <w:bCs/>
          <w:sz w:val="24"/>
          <w:szCs w:val="24"/>
          <w:lang w:eastAsia="ru-RU"/>
        </w:rPr>
        <w:t xml:space="preserve">в зависимости от индивидуальных возможностей и предпочтений клиентов. </w:t>
      </w:r>
    </w:p>
    <w:p w:rsidR="00183587" w:rsidRPr="00247DCB" w:rsidRDefault="00183587" w:rsidP="00C4779E">
      <w:pPr>
        <w:spacing w:after="0" w:line="360" w:lineRule="auto"/>
        <w:ind w:firstLine="708"/>
        <w:jc w:val="both"/>
        <w:rPr>
          <w:rFonts w:ascii="Times New Roman" w:eastAsia="Times New Roman" w:hAnsi="Times New Roman" w:cs="Times New Roman"/>
          <w:bCs/>
          <w:sz w:val="24"/>
          <w:szCs w:val="24"/>
          <w:lang w:eastAsia="ru-RU"/>
        </w:rPr>
      </w:pPr>
    </w:p>
    <w:p w:rsidR="006D05AB" w:rsidRPr="00247DCB" w:rsidRDefault="006D05AB" w:rsidP="00C4779E">
      <w:pPr>
        <w:pStyle w:val="a3"/>
        <w:numPr>
          <w:ilvl w:val="2"/>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Обновление платформы сайта ПАО «Челябэнергосбыт»</w:t>
      </w:r>
    </w:p>
    <w:p w:rsidR="00795579" w:rsidRPr="00247DCB"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Модернизация официального сайта ПАО "Челябэнергосбыт" с целью обеспечения доступа к информации на сайте для всех групп потребителей независимо от используемых программных средств</w:t>
      </w:r>
    </w:p>
    <w:p w:rsidR="00481735" w:rsidRPr="00247DCB" w:rsidRDefault="00481735" w:rsidP="00FD7B97">
      <w:pPr>
        <w:pStyle w:val="a3"/>
        <w:spacing w:after="0" w:line="360" w:lineRule="auto"/>
        <w:ind w:left="0" w:firstLine="708"/>
        <w:jc w:val="both"/>
        <w:rPr>
          <w:rFonts w:ascii="Times New Roman" w:eastAsia="Times New Roman" w:hAnsi="Times New Roman" w:cs="Times New Roman"/>
          <w:bCs/>
          <w:sz w:val="24"/>
          <w:szCs w:val="24"/>
          <w:lang w:eastAsia="ru-RU"/>
        </w:rPr>
      </w:pPr>
    </w:p>
    <w:p w:rsidR="006D05AB" w:rsidRPr="00247DCB" w:rsidRDefault="00A26509"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На данный момент, сайт функционирует на устаревшей платформе, что ограничивает работу сайта при использовании современных программных средств. </w:t>
      </w:r>
      <w:r w:rsidR="002A7F83" w:rsidRPr="00247DCB">
        <w:rPr>
          <w:rFonts w:ascii="Times New Roman" w:eastAsia="Times New Roman" w:hAnsi="Times New Roman" w:cs="Times New Roman"/>
          <w:bCs/>
          <w:sz w:val="24"/>
          <w:szCs w:val="24"/>
          <w:lang w:eastAsia="ru-RU"/>
        </w:rPr>
        <w:t xml:space="preserve">Некорректная работа сайта в ряде случаев </w:t>
      </w:r>
      <w:r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 xml:space="preserve">не </w:t>
      </w:r>
      <w:r w:rsidR="00001CC6" w:rsidRPr="00247DCB">
        <w:rPr>
          <w:rFonts w:ascii="Times New Roman" w:eastAsia="Times New Roman" w:hAnsi="Times New Roman" w:cs="Times New Roman"/>
          <w:bCs/>
          <w:sz w:val="24"/>
          <w:szCs w:val="24"/>
          <w:lang w:eastAsia="ru-RU"/>
        </w:rPr>
        <w:t>соответствует н</w:t>
      </w:r>
      <w:r w:rsidR="00A14ABC" w:rsidRPr="00247DCB">
        <w:rPr>
          <w:rFonts w:ascii="Times New Roman" w:eastAsia="Times New Roman" w:hAnsi="Times New Roman" w:cs="Times New Roman"/>
          <w:bCs/>
          <w:sz w:val="24"/>
          <w:szCs w:val="24"/>
          <w:lang w:eastAsia="ru-RU"/>
        </w:rPr>
        <w:t>ормам действующего законодательства, которые обязывают гарантирующего поставщика обеспечить доступ неограниченного круга лиц к информации, размещенной на сайте.</w:t>
      </w:r>
      <w:r w:rsidR="00DD22D2"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На</w:t>
      </w:r>
      <w:r w:rsidR="00DD22D2"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данное нарушение было</w:t>
      </w:r>
      <w:r w:rsidR="006D05AB" w:rsidRPr="00247DCB">
        <w:rPr>
          <w:rFonts w:ascii="Times New Roman" w:eastAsia="Times New Roman" w:hAnsi="Times New Roman" w:cs="Times New Roman"/>
          <w:bCs/>
          <w:sz w:val="24"/>
          <w:szCs w:val="24"/>
          <w:lang w:eastAsia="ru-RU"/>
        </w:rPr>
        <w:t xml:space="preserve"> указано в акте проверки Министерства тарифного регулирования Челябинской области </w:t>
      </w:r>
      <w:r w:rsidR="00DD22D2" w:rsidRPr="00247DCB">
        <w:rPr>
          <w:rFonts w:ascii="Times New Roman" w:eastAsia="Times New Roman" w:hAnsi="Times New Roman" w:cs="Times New Roman"/>
          <w:bCs/>
          <w:sz w:val="24"/>
          <w:szCs w:val="24"/>
          <w:lang w:eastAsia="ru-RU"/>
        </w:rPr>
        <w:t>№ 23 от 04.06.2015 (прилагается).</w:t>
      </w:r>
    </w:p>
    <w:p w:rsidR="002A7F83" w:rsidRPr="00247DCB" w:rsidRDefault="002A7F83"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Устранить сложившуюся ситуацию без дополнительных финансовых вложений невозможно. </w:t>
      </w:r>
    </w:p>
    <w:p w:rsidR="00A14ABC" w:rsidRPr="00247DCB" w:rsidRDefault="00A14A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Реализация проекта позволит обновить платформу сайта и исключить нарушение действующего законодательства.</w:t>
      </w:r>
    </w:p>
    <w:p w:rsidR="00DD22D2" w:rsidRPr="00247DCB" w:rsidRDefault="00DD22D2"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w:t>
      </w:r>
      <w:r w:rsidR="00A14ABC" w:rsidRPr="00247DCB">
        <w:rPr>
          <w:rFonts w:ascii="Times New Roman" w:eastAsia="Times New Roman" w:hAnsi="Times New Roman" w:cs="Times New Roman"/>
          <w:bCs/>
          <w:sz w:val="24"/>
          <w:szCs w:val="24"/>
          <w:lang w:eastAsia="ru-RU"/>
        </w:rPr>
        <w:t>реализации</w:t>
      </w:r>
      <w:r w:rsidR="0002059D" w:rsidRPr="00247DCB">
        <w:rPr>
          <w:rFonts w:ascii="Times New Roman" w:eastAsia="Times New Roman" w:hAnsi="Times New Roman" w:cs="Times New Roman"/>
          <w:bCs/>
          <w:sz w:val="24"/>
          <w:szCs w:val="24"/>
          <w:lang w:eastAsia="ru-RU"/>
        </w:rPr>
        <w:t xml:space="preserve"> проекта требуется провести следующие мероприятия:</w:t>
      </w:r>
    </w:p>
    <w:p w:rsidR="0002059D" w:rsidRPr="00247DCB" w:rsidRDefault="0002059D" w:rsidP="00C4779E">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Приобрести и установить в центре обработки данных отказоустойчивый производительный сервер</w:t>
      </w:r>
      <w:r w:rsidR="008C4E3F" w:rsidRPr="00247DCB">
        <w:rPr>
          <w:rFonts w:ascii="Times New Roman" w:eastAsia="Times New Roman" w:hAnsi="Times New Roman" w:cs="Times New Roman"/>
          <w:bCs/>
          <w:sz w:val="24"/>
          <w:szCs w:val="24"/>
          <w:lang w:eastAsia="ru-RU"/>
        </w:rPr>
        <w:t xml:space="preserve"> (характеристики приведены в коммерческом предложении)</w:t>
      </w:r>
      <w:r w:rsidRPr="00247DCB">
        <w:rPr>
          <w:rFonts w:ascii="Times New Roman" w:eastAsia="Times New Roman" w:hAnsi="Times New Roman" w:cs="Times New Roman"/>
          <w:bCs/>
          <w:sz w:val="24"/>
          <w:szCs w:val="24"/>
          <w:lang w:eastAsia="ru-RU"/>
        </w:rPr>
        <w:t>;</w:t>
      </w:r>
    </w:p>
    <w:p w:rsidR="0002059D" w:rsidRPr="00247DCB" w:rsidRDefault="0002059D" w:rsidP="00C4779E">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Приобрести программное обеспечение </w:t>
      </w:r>
      <w:r w:rsidR="008C4E3F" w:rsidRPr="00247DCB">
        <w:rPr>
          <w:rFonts w:ascii="Times New Roman" w:eastAsia="Times New Roman" w:hAnsi="Times New Roman" w:cs="Times New Roman"/>
          <w:bCs/>
          <w:sz w:val="24"/>
          <w:szCs w:val="24"/>
          <w:lang w:eastAsia="ru-RU"/>
        </w:rPr>
        <w:t xml:space="preserve">«1С-Битрикс: </w:t>
      </w:r>
      <w:r w:rsidRPr="00247DCB">
        <w:rPr>
          <w:rFonts w:ascii="Times New Roman" w:eastAsia="Times New Roman" w:hAnsi="Times New Roman" w:cs="Times New Roman"/>
          <w:bCs/>
          <w:sz w:val="24"/>
          <w:szCs w:val="24"/>
          <w:lang w:eastAsia="ru-RU"/>
        </w:rPr>
        <w:t>Управлени</w:t>
      </w:r>
      <w:r w:rsidR="008C4E3F" w:rsidRPr="00247DCB">
        <w:rPr>
          <w:rFonts w:ascii="Times New Roman" w:eastAsia="Times New Roman" w:hAnsi="Times New Roman" w:cs="Times New Roman"/>
          <w:bCs/>
          <w:sz w:val="24"/>
          <w:szCs w:val="24"/>
          <w:lang w:eastAsia="ru-RU"/>
        </w:rPr>
        <w:t>е</w:t>
      </w:r>
      <w:r w:rsidRPr="00247DCB">
        <w:rPr>
          <w:rFonts w:ascii="Times New Roman" w:eastAsia="Times New Roman" w:hAnsi="Times New Roman" w:cs="Times New Roman"/>
          <w:bCs/>
          <w:sz w:val="24"/>
          <w:szCs w:val="24"/>
          <w:lang w:eastAsia="ru-RU"/>
        </w:rPr>
        <w:t xml:space="preserve"> сайтом</w:t>
      </w:r>
      <w:r w:rsidR="008C4E3F" w:rsidRPr="00247DCB">
        <w:rPr>
          <w:rFonts w:ascii="Times New Roman" w:eastAsia="Times New Roman" w:hAnsi="Times New Roman" w:cs="Times New Roman"/>
          <w:bCs/>
          <w:sz w:val="24"/>
          <w:szCs w:val="24"/>
          <w:lang w:eastAsia="ru-RU"/>
        </w:rPr>
        <w:t>» в виду того, что данный программный комплекс при минимальных доступных на рынке ценах обеспечивает полный требуемый функционал;</w:t>
      </w:r>
    </w:p>
    <w:p w:rsidR="0002059D" w:rsidRPr="00247DCB" w:rsidRDefault="0002059D" w:rsidP="00C4779E">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Произвести настройку программного обеспечения, разработать сайт и перенести существующую структуру сайта, его дизайн и данные со старого сайта.</w:t>
      </w:r>
    </w:p>
    <w:p w:rsidR="00247DCB" w:rsidRPr="00247DCB" w:rsidRDefault="00247DCB" w:rsidP="00C4779E">
      <w:pPr>
        <w:spacing w:after="0" w:line="360" w:lineRule="auto"/>
        <w:ind w:left="708"/>
        <w:jc w:val="both"/>
        <w:rPr>
          <w:rFonts w:ascii="Times New Roman" w:eastAsia="Times New Roman" w:hAnsi="Times New Roman" w:cs="Times New Roman"/>
          <w:bCs/>
          <w:sz w:val="24"/>
          <w:szCs w:val="24"/>
          <w:lang w:eastAsia="ru-RU"/>
        </w:rPr>
      </w:pPr>
    </w:p>
    <w:tbl>
      <w:tblPr>
        <w:tblStyle w:val="ac"/>
        <w:tblW w:w="9571" w:type="dxa"/>
        <w:tblLook w:val="04A0" w:firstRow="1" w:lastRow="0" w:firstColumn="1" w:lastColumn="0" w:noHBand="0" w:noVBand="1"/>
      </w:tblPr>
      <w:tblGrid>
        <w:gridCol w:w="3720"/>
        <w:gridCol w:w="982"/>
        <w:gridCol w:w="979"/>
        <w:gridCol w:w="979"/>
        <w:gridCol w:w="979"/>
        <w:gridCol w:w="966"/>
        <w:gridCol w:w="966"/>
      </w:tblGrid>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r>
      <w:tr w:rsidR="00141C9E" w:rsidRPr="00247DCB" w:rsidTr="00CB419F">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3 545</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2 169</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344</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344</w:t>
            </w: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344</w:t>
            </w: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344</w:t>
            </w:r>
          </w:p>
        </w:tc>
      </w:tr>
      <w:tr w:rsidR="00141C9E" w:rsidRPr="00247DCB" w:rsidTr="00CB419F">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1 352</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1 352</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r>
      <w:tr w:rsidR="00141C9E" w:rsidRPr="00247DCB" w:rsidTr="00CB419F">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1 720</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r>
      <w:tr w:rsidR="00141C9E" w:rsidRPr="00247DCB" w:rsidTr="00CB419F">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w:t>
            </w:r>
            <w:r w:rsidR="002A7F83" w:rsidRPr="00247DCB">
              <w:rPr>
                <w:rFonts w:ascii="Times New Roman" w:eastAsia="Times New Roman" w:hAnsi="Times New Roman" w:cs="Times New Roman"/>
                <w:bCs/>
                <w:sz w:val="20"/>
                <w:szCs w:val="20"/>
                <w:lang w:eastAsia="ru-RU"/>
              </w:rPr>
              <w:t xml:space="preserve"> по внедрению программного обеспечения</w:t>
            </w:r>
          </w:p>
        </w:tc>
        <w:tc>
          <w:tcPr>
            <w:tcW w:w="982"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473</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473</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r>
    </w:tbl>
    <w:p w:rsidR="00CB419F" w:rsidRPr="00247DCB" w:rsidRDefault="00CB419F" w:rsidP="00C4779E">
      <w:pPr>
        <w:spacing w:after="0" w:line="360" w:lineRule="auto"/>
        <w:ind w:left="708"/>
        <w:jc w:val="both"/>
        <w:rPr>
          <w:rFonts w:ascii="Times New Roman" w:eastAsia="Times New Roman" w:hAnsi="Times New Roman" w:cs="Times New Roman"/>
          <w:bCs/>
          <w:sz w:val="24"/>
          <w:szCs w:val="24"/>
          <w:lang w:eastAsia="ru-RU"/>
        </w:rPr>
      </w:pPr>
    </w:p>
    <w:p w:rsidR="00597E3E" w:rsidRPr="00247DCB" w:rsidRDefault="00141C9E" w:rsidP="00C4779E">
      <w:pPr>
        <w:pStyle w:val="a3"/>
        <w:numPr>
          <w:ilvl w:val="2"/>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Создание</w:t>
      </w:r>
      <w:r w:rsidR="0002059D" w:rsidRPr="00247DCB">
        <w:rPr>
          <w:rFonts w:ascii="Times New Roman" w:eastAsia="Times New Roman" w:hAnsi="Times New Roman" w:cs="Times New Roman"/>
          <w:b/>
          <w:bCs/>
          <w:sz w:val="24"/>
          <w:szCs w:val="24"/>
          <w:lang w:eastAsia="ru-RU"/>
        </w:rPr>
        <w:t xml:space="preserve"> </w:t>
      </w:r>
      <w:proofErr w:type="gramStart"/>
      <w:r w:rsidR="0002059D" w:rsidRPr="00247DCB">
        <w:rPr>
          <w:rFonts w:ascii="Times New Roman" w:eastAsia="Times New Roman" w:hAnsi="Times New Roman" w:cs="Times New Roman"/>
          <w:b/>
          <w:bCs/>
          <w:sz w:val="24"/>
          <w:szCs w:val="24"/>
          <w:lang w:eastAsia="ru-RU"/>
        </w:rPr>
        <w:t>контакт</w:t>
      </w:r>
      <w:r w:rsidR="00597E3E" w:rsidRPr="00247DCB">
        <w:rPr>
          <w:rFonts w:ascii="Times New Roman" w:eastAsia="Times New Roman" w:hAnsi="Times New Roman" w:cs="Times New Roman"/>
          <w:b/>
          <w:bCs/>
          <w:sz w:val="24"/>
          <w:szCs w:val="24"/>
          <w:lang w:eastAsia="ru-RU"/>
        </w:rPr>
        <w:t>-центра</w:t>
      </w:r>
      <w:proofErr w:type="gramEnd"/>
      <w:r w:rsidR="00597E3E" w:rsidRPr="00247DCB">
        <w:rPr>
          <w:rFonts w:ascii="Times New Roman" w:eastAsia="Times New Roman" w:hAnsi="Times New Roman" w:cs="Times New Roman"/>
          <w:b/>
          <w:bCs/>
          <w:sz w:val="24"/>
          <w:szCs w:val="24"/>
          <w:lang w:eastAsia="ru-RU"/>
        </w:rPr>
        <w:t xml:space="preserve"> </w:t>
      </w:r>
    </w:p>
    <w:p w:rsidR="00795579" w:rsidRPr="00247DCB"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Цель проекта: создание системы информационного взаимодействия с потребителями в соответствии с действующими НПА и обеспечение доступа неограниченного круга лиц к заочному обслуживанию</w:t>
      </w:r>
      <w:proofErr w:type="gramEnd"/>
    </w:p>
    <w:p w:rsidR="00795579" w:rsidRPr="00247DCB" w:rsidRDefault="00795579" w:rsidP="00793E6F">
      <w:pPr>
        <w:pStyle w:val="a3"/>
        <w:spacing w:after="0" w:line="360" w:lineRule="auto"/>
        <w:ind w:left="708"/>
        <w:jc w:val="both"/>
        <w:rPr>
          <w:rFonts w:ascii="Times New Roman" w:eastAsia="Times New Roman" w:hAnsi="Times New Roman" w:cs="Times New Roman"/>
          <w:bCs/>
          <w:sz w:val="24"/>
          <w:szCs w:val="24"/>
          <w:lang w:eastAsia="ru-RU"/>
        </w:rPr>
      </w:pPr>
    </w:p>
    <w:p w:rsidR="0002059D" w:rsidRPr="00247DCB" w:rsidRDefault="0002059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организации системы заочного обслуживания необходимо организовать контакт-центр (информационно-справочную службу), обратившись в которую клиент </w:t>
      </w:r>
      <w:r w:rsidRPr="00247DCB">
        <w:rPr>
          <w:rFonts w:ascii="Times New Roman" w:eastAsia="Times New Roman" w:hAnsi="Times New Roman" w:cs="Times New Roman"/>
          <w:bCs/>
          <w:sz w:val="24"/>
          <w:szCs w:val="24"/>
          <w:lang w:eastAsia="ru-RU"/>
        </w:rPr>
        <w:lastRenderedPageBreak/>
        <w:t>может получить информацию по услугам посредством телефонной связи, а также передать показания приборов учета.</w:t>
      </w:r>
    </w:p>
    <w:p w:rsidR="00A14ABC" w:rsidRPr="00247DCB" w:rsidRDefault="00A14A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Реализация данного проекта позволяет производить</w:t>
      </w:r>
      <w:r w:rsidR="00597E3E" w:rsidRPr="00247DCB">
        <w:rPr>
          <w:rFonts w:ascii="Times New Roman" w:eastAsia="Times New Roman" w:hAnsi="Times New Roman" w:cs="Times New Roman"/>
          <w:bCs/>
          <w:sz w:val="24"/>
          <w:szCs w:val="24"/>
          <w:lang w:eastAsia="ru-RU"/>
        </w:rPr>
        <w:t xml:space="preserve"> оперативную обработку обращений потребителей. </w:t>
      </w:r>
    </w:p>
    <w:p w:rsidR="00597E3E" w:rsidRPr="00247DCB" w:rsidRDefault="00597E3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организации такого центра требуется приобретение и установка специализированного оборудования и </w:t>
      </w:r>
      <w:proofErr w:type="gramStart"/>
      <w:r w:rsidRPr="00247DCB">
        <w:rPr>
          <w:rFonts w:ascii="Times New Roman" w:eastAsia="Times New Roman" w:hAnsi="Times New Roman" w:cs="Times New Roman"/>
          <w:bCs/>
          <w:sz w:val="24"/>
          <w:szCs w:val="24"/>
          <w:lang w:eastAsia="ru-RU"/>
        </w:rPr>
        <w:t>ПО</w:t>
      </w:r>
      <w:proofErr w:type="gramEnd"/>
      <w:r w:rsidRPr="00247DCB">
        <w:rPr>
          <w:rFonts w:ascii="Times New Roman" w:eastAsia="Times New Roman" w:hAnsi="Times New Roman" w:cs="Times New Roman"/>
          <w:bCs/>
          <w:sz w:val="24"/>
          <w:szCs w:val="24"/>
          <w:lang w:eastAsia="ru-RU"/>
        </w:rPr>
        <w:t>, в  том числе:</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val="en-US" w:eastAsia="ru-RU"/>
        </w:rPr>
        <w:t xml:space="preserve">1) </w:t>
      </w:r>
      <w:proofErr w:type="spellStart"/>
      <w:r w:rsidRPr="00247DCB">
        <w:rPr>
          <w:rFonts w:ascii="Times New Roman" w:eastAsia="Times New Roman" w:hAnsi="Times New Roman" w:cs="Times New Roman"/>
          <w:bCs/>
          <w:sz w:val="24"/>
          <w:szCs w:val="24"/>
          <w:lang w:val="en-US" w:eastAsia="ru-RU"/>
        </w:rPr>
        <w:t>Oktell</w:t>
      </w:r>
      <w:proofErr w:type="spellEnd"/>
      <w:r w:rsidRPr="00247DCB">
        <w:rPr>
          <w:rFonts w:ascii="Times New Roman" w:eastAsia="Times New Roman" w:hAnsi="Times New Roman" w:cs="Times New Roman"/>
          <w:bCs/>
          <w:sz w:val="24"/>
          <w:szCs w:val="24"/>
          <w:lang w:val="en-US" w:eastAsia="ru-RU"/>
        </w:rPr>
        <w:t xml:space="preserve"> X Progress </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val="en-US" w:eastAsia="ru-RU"/>
        </w:rPr>
        <w:t xml:space="preserve">2) </w:t>
      </w:r>
      <w:r w:rsidRPr="00247DCB">
        <w:rPr>
          <w:rFonts w:ascii="Times New Roman" w:eastAsia="Times New Roman" w:hAnsi="Times New Roman" w:cs="Times New Roman"/>
          <w:bCs/>
          <w:sz w:val="24"/>
          <w:szCs w:val="24"/>
          <w:lang w:eastAsia="ru-RU"/>
        </w:rPr>
        <w:t>Лицензии</w:t>
      </w:r>
      <w:r w:rsidRPr="00247DCB">
        <w:rPr>
          <w:rFonts w:ascii="Times New Roman" w:eastAsia="Times New Roman" w:hAnsi="Times New Roman" w:cs="Times New Roman"/>
          <w:bCs/>
          <w:sz w:val="24"/>
          <w:szCs w:val="24"/>
          <w:lang w:val="en-US" w:eastAsia="ru-RU"/>
        </w:rPr>
        <w:t xml:space="preserve"> </w:t>
      </w:r>
      <w:proofErr w:type="spellStart"/>
      <w:r w:rsidRPr="00247DCB">
        <w:rPr>
          <w:rFonts w:ascii="Times New Roman" w:eastAsia="Times New Roman" w:hAnsi="Times New Roman" w:cs="Times New Roman"/>
          <w:bCs/>
          <w:sz w:val="24"/>
          <w:szCs w:val="24"/>
          <w:lang w:val="en-US" w:eastAsia="ru-RU"/>
        </w:rPr>
        <w:t>SpeechKit</w:t>
      </w:r>
      <w:proofErr w:type="spellEnd"/>
      <w:r w:rsidRPr="00247DCB">
        <w:rPr>
          <w:rFonts w:ascii="Times New Roman" w:eastAsia="Times New Roman" w:hAnsi="Times New Roman" w:cs="Times New Roman"/>
          <w:bCs/>
          <w:sz w:val="24"/>
          <w:szCs w:val="24"/>
          <w:lang w:val="en-US" w:eastAsia="ru-RU"/>
        </w:rPr>
        <w:t xml:space="preserve"> Box  </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val="en-US" w:eastAsia="ru-RU"/>
        </w:rPr>
        <w:t>3) IP-</w:t>
      </w:r>
      <w:r w:rsidRPr="00247DCB">
        <w:rPr>
          <w:rFonts w:ascii="Times New Roman" w:eastAsia="Times New Roman" w:hAnsi="Times New Roman" w:cs="Times New Roman"/>
          <w:bCs/>
          <w:sz w:val="24"/>
          <w:szCs w:val="24"/>
          <w:lang w:eastAsia="ru-RU"/>
        </w:rPr>
        <w:t>телефон</w:t>
      </w:r>
      <w:r w:rsidRPr="00247DCB">
        <w:rPr>
          <w:rFonts w:ascii="Times New Roman" w:eastAsia="Times New Roman" w:hAnsi="Times New Roman" w:cs="Times New Roman"/>
          <w:bCs/>
          <w:sz w:val="24"/>
          <w:szCs w:val="24"/>
          <w:lang w:val="en-US" w:eastAsia="ru-RU"/>
        </w:rPr>
        <w:t xml:space="preserve"> Yealink SIP-T19</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val="en-US" w:eastAsia="ru-RU"/>
        </w:rPr>
        <w:t xml:space="preserve">4) </w:t>
      </w:r>
      <w:r w:rsidRPr="00247DCB">
        <w:rPr>
          <w:rFonts w:ascii="Times New Roman" w:eastAsia="Times New Roman" w:hAnsi="Times New Roman" w:cs="Times New Roman"/>
          <w:bCs/>
          <w:sz w:val="24"/>
          <w:szCs w:val="24"/>
          <w:lang w:eastAsia="ru-RU"/>
        </w:rPr>
        <w:t>Гарнитура</w:t>
      </w:r>
      <w:r w:rsidRPr="00247DCB">
        <w:rPr>
          <w:rFonts w:ascii="Times New Roman" w:eastAsia="Times New Roman" w:hAnsi="Times New Roman" w:cs="Times New Roman"/>
          <w:bCs/>
          <w:sz w:val="24"/>
          <w:szCs w:val="24"/>
          <w:lang w:val="en-US" w:eastAsia="ru-RU"/>
        </w:rPr>
        <w:t xml:space="preserve"> </w:t>
      </w:r>
      <w:r w:rsidRPr="00247DCB">
        <w:rPr>
          <w:rFonts w:ascii="Times New Roman" w:eastAsia="Times New Roman" w:hAnsi="Times New Roman" w:cs="Times New Roman"/>
          <w:bCs/>
          <w:sz w:val="24"/>
          <w:szCs w:val="24"/>
          <w:lang w:eastAsia="ru-RU"/>
        </w:rPr>
        <w:t>к</w:t>
      </w:r>
      <w:r w:rsidRPr="00247DCB">
        <w:rPr>
          <w:rFonts w:ascii="Times New Roman" w:eastAsia="Times New Roman" w:hAnsi="Times New Roman" w:cs="Times New Roman"/>
          <w:bCs/>
          <w:sz w:val="24"/>
          <w:szCs w:val="24"/>
          <w:lang w:val="en-US" w:eastAsia="ru-RU"/>
        </w:rPr>
        <w:t xml:space="preserve"> IP-</w:t>
      </w:r>
      <w:r w:rsidRPr="00247DCB">
        <w:rPr>
          <w:rFonts w:ascii="Times New Roman" w:eastAsia="Times New Roman" w:hAnsi="Times New Roman" w:cs="Times New Roman"/>
          <w:bCs/>
          <w:sz w:val="24"/>
          <w:szCs w:val="24"/>
          <w:lang w:eastAsia="ru-RU"/>
        </w:rPr>
        <w:t>телефону</w:t>
      </w:r>
      <w:r w:rsidRPr="00247DCB">
        <w:rPr>
          <w:rFonts w:ascii="Times New Roman" w:eastAsia="Times New Roman" w:hAnsi="Times New Roman" w:cs="Times New Roman"/>
          <w:bCs/>
          <w:sz w:val="24"/>
          <w:szCs w:val="24"/>
          <w:lang w:val="en-US" w:eastAsia="ru-RU"/>
        </w:rPr>
        <w:t xml:space="preserve"> </w:t>
      </w:r>
      <w:r w:rsidRPr="00247DCB">
        <w:rPr>
          <w:rFonts w:ascii="Times New Roman" w:eastAsia="Times New Roman" w:hAnsi="Times New Roman" w:cs="Times New Roman"/>
          <w:bCs/>
          <w:sz w:val="24"/>
          <w:szCs w:val="24"/>
          <w:lang w:eastAsia="ru-RU"/>
        </w:rPr>
        <w:t>с</w:t>
      </w:r>
      <w:r w:rsidRPr="00247DCB">
        <w:rPr>
          <w:rFonts w:ascii="Times New Roman" w:eastAsia="Times New Roman" w:hAnsi="Times New Roman" w:cs="Times New Roman"/>
          <w:bCs/>
          <w:sz w:val="24"/>
          <w:szCs w:val="24"/>
          <w:lang w:val="en-US" w:eastAsia="ru-RU"/>
        </w:rPr>
        <w:t xml:space="preserve"> </w:t>
      </w:r>
      <w:r w:rsidRPr="00247DCB">
        <w:rPr>
          <w:rFonts w:ascii="Times New Roman" w:eastAsia="Times New Roman" w:hAnsi="Times New Roman" w:cs="Times New Roman"/>
          <w:bCs/>
          <w:sz w:val="24"/>
          <w:szCs w:val="24"/>
          <w:lang w:eastAsia="ru-RU"/>
        </w:rPr>
        <w:t>разъемом</w:t>
      </w:r>
      <w:r w:rsidRPr="00247DCB">
        <w:rPr>
          <w:rFonts w:ascii="Times New Roman" w:eastAsia="Times New Roman" w:hAnsi="Times New Roman" w:cs="Times New Roman"/>
          <w:bCs/>
          <w:sz w:val="24"/>
          <w:szCs w:val="24"/>
          <w:lang w:val="en-US" w:eastAsia="ru-RU"/>
        </w:rPr>
        <w:t xml:space="preserve"> QD </w:t>
      </w:r>
      <w:proofErr w:type="spellStart"/>
      <w:r w:rsidRPr="00247DCB">
        <w:rPr>
          <w:rFonts w:ascii="Times New Roman" w:eastAsia="Times New Roman" w:hAnsi="Times New Roman" w:cs="Times New Roman"/>
          <w:bCs/>
          <w:sz w:val="24"/>
          <w:szCs w:val="24"/>
          <w:lang w:val="en-US" w:eastAsia="ru-RU"/>
        </w:rPr>
        <w:t>Mairdi</w:t>
      </w:r>
      <w:proofErr w:type="spellEnd"/>
      <w:r w:rsidRPr="00247DCB">
        <w:rPr>
          <w:rFonts w:ascii="Times New Roman" w:eastAsia="Times New Roman" w:hAnsi="Times New Roman" w:cs="Times New Roman"/>
          <w:bCs/>
          <w:sz w:val="24"/>
          <w:szCs w:val="24"/>
          <w:lang w:val="en-US" w:eastAsia="ru-RU"/>
        </w:rPr>
        <w:t xml:space="preserve"> MRD-510DS</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5) Услуги по технической поддержке</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eastAsia="ru-RU"/>
        </w:rPr>
      </w:pPr>
    </w:p>
    <w:tbl>
      <w:tblPr>
        <w:tblStyle w:val="ac"/>
        <w:tblW w:w="9558" w:type="dxa"/>
        <w:tblLook w:val="04A0" w:firstRow="1" w:lastRow="0" w:firstColumn="1" w:lastColumn="0" w:noHBand="0" w:noVBand="1"/>
      </w:tblPr>
      <w:tblGrid>
        <w:gridCol w:w="3720"/>
        <w:gridCol w:w="982"/>
        <w:gridCol w:w="979"/>
        <w:gridCol w:w="979"/>
        <w:gridCol w:w="966"/>
        <w:gridCol w:w="966"/>
        <w:gridCol w:w="966"/>
      </w:tblGrid>
      <w:tr w:rsidR="00141C9E" w:rsidRPr="00247DCB" w:rsidTr="00141C9E">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c>
          <w:tcPr>
            <w:tcW w:w="966" w:type="dxa"/>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2022</w:t>
            </w:r>
          </w:p>
        </w:tc>
      </w:tr>
      <w:tr w:rsidR="00141C9E" w:rsidRPr="00247DCB" w:rsidTr="00141C9E">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141C9E" w:rsidRPr="00247DCB" w:rsidRDefault="00141C9E" w:rsidP="008D55CD">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8 934</w:t>
            </w:r>
          </w:p>
        </w:tc>
        <w:tc>
          <w:tcPr>
            <w:tcW w:w="979" w:type="dxa"/>
          </w:tcPr>
          <w:p w:rsidR="00141C9E" w:rsidRPr="00247DCB" w:rsidRDefault="00141C9E" w:rsidP="008D55CD">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5 278</w:t>
            </w:r>
          </w:p>
        </w:tc>
        <w:tc>
          <w:tcPr>
            <w:tcW w:w="979" w:type="dxa"/>
          </w:tcPr>
          <w:p w:rsidR="00141C9E" w:rsidRPr="00247DCB" w:rsidRDefault="00141C9E" w:rsidP="008D55CD">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914</w:t>
            </w:r>
          </w:p>
        </w:tc>
        <w:tc>
          <w:tcPr>
            <w:tcW w:w="966" w:type="dxa"/>
          </w:tcPr>
          <w:p w:rsidR="00141C9E" w:rsidRPr="00247DCB" w:rsidRDefault="00141C9E" w:rsidP="008D55CD">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914</w:t>
            </w:r>
          </w:p>
        </w:tc>
        <w:tc>
          <w:tcPr>
            <w:tcW w:w="966" w:type="dxa"/>
          </w:tcPr>
          <w:p w:rsidR="00141C9E" w:rsidRPr="00247DCB" w:rsidRDefault="00141C9E" w:rsidP="008D55CD">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914</w:t>
            </w:r>
          </w:p>
        </w:tc>
        <w:tc>
          <w:tcPr>
            <w:tcW w:w="966" w:type="dxa"/>
          </w:tcPr>
          <w:p w:rsidR="00141C9E" w:rsidRPr="00247DCB" w:rsidRDefault="00141C9E" w:rsidP="008D55CD">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914</w:t>
            </w:r>
          </w:p>
        </w:tc>
      </w:tr>
      <w:tr w:rsidR="00141C9E" w:rsidRPr="00247DCB" w:rsidTr="00141C9E">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1 692</w:t>
            </w:r>
          </w:p>
        </w:tc>
        <w:tc>
          <w:tcPr>
            <w:tcW w:w="979"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1 692</w:t>
            </w:r>
          </w:p>
        </w:tc>
        <w:tc>
          <w:tcPr>
            <w:tcW w:w="979" w:type="dxa"/>
          </w:tcPr>
          <w:p w:rsidR="00141C9E" w:rsidRPr="00247DCB" w:rsidRDefault="00141C9E" w:rsidP="008D55CD">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p>
        </w:tc>
      </w:tr>
      <w:tr w:rsidR="00141C9E" w:rsidRPr="00247DCB" w:rsidTr="00141C9E">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4 570</w:t>
            </w:r>
          </w:p>
        </w:tc>
        <w:tc>
          <w:tcPr>
            <w:tcW w:w="979"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c>
          <w:tcPr>
            <w:tcW w:w="979"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r>
      <w:tr w:rsidR="00141C9E" w:rsidRPr="00247DCB" w:rsidTr="00141C9E">
        <w:tc>
          <w:tcPr>
            <w:tcW w:w="3720" w:type="dxa"/>
          </w:tcPr>
          <w:p w:rsidR="00141C9E" w:rsidRPr="00247DCB" w:rsidRDefault="002A7F83"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 по внедрению программного обеспечения</w:t>
            </w:r>
          </w:p>
        </w:tc>
        <w:tc>
          <w:tcPr>
            <w:tcW w:w="982"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2 672</w:t>
            </w:r>
          </w:p>
        </w:tc>
        <w:tc>
          <w:tcPr>
            <w:tcW w:w="979" w:type="dxa"/>
          </w:tcPr>
          <w:p w:rsidR="00141C9E" w:rsidRPr="00247DCB" w:rsidRDefault="00141C9E" w:rsidP="008D55CD">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2 672</w:t>
            </w:r>
          </w:p>
        </w:tc>
        <w:tc>
          <w:tcPr>
            <w:tcW w:w="979" w:type="dxa"/>
          </w:tcPr>
          <w:p w:rsidR="00141C9E" w:rsidRPr="00247DCB" w:rsidRDefault="00141C9E" w:rsidP="008D55CD">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8D55CD">
            <w:pPr>
              <w:jc w:val="center"/>
              <w:rPr>
                <w:rFonts w:ascii="Times New Roman" w:eastAsia="Times New Roman" w:hAnsi="Times New Roman" w:cs="Times New Roman"/>
                <w:bCs/>
                <w:sz w:val="20"/>
                <w:szCs w:val="20"/>
                <w:lang w:eastAsia="ru-RU"/>
              </w:rPr>
            </w:pPr>
          </w:p>
        </w:tc>
      </w:tr>
    </w:tbl>
    <w:p w:rsidR="00CB419F" w:rsidRPr="00247DCB" w:rsidRDefault="00CB419F" w:rsidP="00C4779E">
      <w:pPr>
        <w:spacing w:after="0" w:line="360" w:lineRule="auto"/>
        <w:ind w:left="710"/>
        <w:contextualSpacing/>
        <w:jc w:val="both"/>
        <w:rPr>
          <w:rFonts w:ascii="Times New Roman" w:eastAsia="Times New Roman" w:hAnsi="Times New Roman" w:cs="Times New Roman"/>
          <w:bCs/>
          <w:sz w:val="24"/>
          <w:szCs w:val="24"/>
          <w:lang w:eastAsia="ru-RU"/>
        </w:rPr>
      </w:pPr>
    </w:p>
    <w:p w:rsidR="0094522D" w:rsidRPr="00247DCB" w:rsidRDefault="006D05AB" w:rsidP="00C4779E">
      <w:pPr>
        <w:pStyle w:val="a3"/>
        <w:numPr>
          <w:ilvl w:val="2"/>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Монтаж пандусов согласно проекту доступности инфраструктуры для инвалидов и маломобильных групп населения</w:t>
      </w:r>
    </w:p>
    <w:p w:rsidR="00795579" w:rsidRPr="00247DCB"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w:t>
      </w:r>
      <w:r w:rsidR="00F371C8" w:rsidRPr="00247DCB">
        <w:rPr>
          <w:rFonts w:ascii="Times New Roman" w:eastAsia="Times New Roman" w:hAnsi="Times New Roman" w:cs="Times New Roman"/>
          <w:bCs/>
          <w:sz w:val="24"/>
          <w:szCs w:val="24"/>
          <w:lang w:eastAsia="ru-RU"/>
        </w:rPr>
        <w:t>создание условий для беспрепятственного доступа в центры, обслуживающие потребителей, для инвалидов и маломобильных групп населения</w:t>
      </w:r>
    </w:p>
    <w:p w:rsidR="00F371C8" w:rsidRPr="00247DCB" w:rsidRDefault="00F371C8" w:rsidP="00C4779E">
      <w:pPr>
        <w:spacing w:after="0" w:line="360" w:lineRule="auto"/>
        <w:ind w:firstLine="708"/>
        <w:jc w:val="both"/>
        <w:rPr>
          <w:rFonts w:ascii="Times New Roman" w:eastAsia="Times New Roman" w:hAnsi="Times New Roman" w:cs="Times New Roman"/>
          <w:bCs/>
          <w:sz w:val="24"/>
          <w:szCs w:val="24"/>
          <w:lang w:eastAsia="ru-RU"/>
        </w:rPr>
      </w:pP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На основании п. 11 Основ </w:t>
      </w:r>
      <w:r w:rsidR="009700A6" w:rsidRPr="00247DCB">
        <w:rPr>
          <w:rFonts w:ascii="Times New Roman" w:eastAsia="Times New Roman" w:hAnsi="Times New Roman" w:cs="Times New Roman"/>
          <w:bCs/>
          <w:sz w:val="24"/>
          <w:szCs w:val="24"/>
          <w:lang w:eastAsia="ru-RU"/>
        </w:rPr>
        <w:t>функционировании</w:t>
      </w:r>
      <w:r w:rsidRPr="00247DCB">
        <w:rPr>
          <w:rFonts w:ascii="Times New Roman" w:eastAsia="Times New Roman" w:hAnsi="Times New Roman" w:cs="Times New Roman"/>
          <w:bCs/>
          <w:sz w:val="24"/>
          <w:szCs w:val="24"/>
          <w:lang w:eastAsia="ru-RU"/>
        </w:rPr>
        <w:t xml:space="preserve"> розничных рынков электрической энергии гарантирующий поставщик обязан обеспечить наличие и функционирование центров очного обслуживания потребителей (покупателей).</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соответствии с ч. 1 ст. 15 Федерального закона «О социальной защите инвалидов в Российской Федерации» от 24.11.1995 № 181-ФЗ организации обязаны создавать инвалидам условия для беспрепятственного доступа к объектам социальной инфраструктуры.</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реализации проекта «Доступная среда» в Челябинской области представителями Челябинской городской общественной организации Всероссийского общества инвалидов была проведена проверка помещений ПАО «Челябэнергосбыт» и выявлены нарушении,  на основании которых прокуратурой были выданы предписания по созданию условий для беспрепятственного доступа к РИЦ ПАО «Челябэнергосбыт».</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В результате реализации программы будет произведён монтаж пандусов 6 РИЦ в г. Челябинске, что позволит повысить качество доступа в очные центры облуживания для маломобильных групп потребителей.</w:t>
      </w:r>
    </w:p>
    <w:p w:rsidR="00F371C8" w:rsidRPr="00247DCB" w:rsidRDefault="00F371C8"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реализации программы будет произведён монтаж пандусов по следующим адресам:</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Калинина, 7;</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Горького, 64А;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Молодогвардейцев, 26А;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Гагарина, 52;</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Воровского, 15А;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ш. Металлургов, 38.</w:t>
      </w:r>
    </w:p>
    <w:p w:rsidR="00F371C8" w:rsidRPr="00247DCB" w:rsidRDefault="00F371C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Программа предусматривает выполнения проекта по каждому объекту и проведение строительных работ. </w:t>
      </w:r>
    </w:p>
    <w:p w:rsidR="00CE2301" w:rsidRPr="00247DCB" w:rsidRDefault="00F371C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 </w:t>
      </w:r>
      <w:r w:rsidR="009700A6" w:rsidRPr="00247DCB">
        <w:rPr>
          <w:rFonts w:ascii="Times New Roman" w:eastAsia="Times New Roman" w:hAnsi="Times New Roman" w:cs="Times New Roman"/>
          <w:bCs/>
          <w:sz w:val="24"/>
          <w:szCs w:val="24"/>
          <w:lang w:eastAsia="ru-RU"/>
        </w:rPr>
        <w:t>связи</w:t>
      </w:r>
      <w:r w:rsidRPr="00247DCB">
        <w:rPr>
          <w:rFonts w:ascii="Times New Roman" w:eastAsia="Times New Roman" w:hAnsi="Times New Roman" w:cs="Times New Roman"/>
          <w:bCs/>
          <w:sz w:val="24"/>
          <w:szCs w:val="24"/>
          <w:lang w:eastAsia="ru-RU"/>
        </w:rPr>
        <w:t xml:space="preserve"> с отсутствием </w:t>
      </w:r>
      <w:r w:rsidR="000B7E1F" w:rsidRPr="00247DCB">
        <w:rPr>
          <w:rFonts w:ascii="Times New Roman" w:eastAsia="Times New Roman" w:hAnsi="Times New Roman" w:cs="Times New Roman"/>
          <w:bCs/>
          <w:sz w:val="24"/>
          <w:szCs w:val="24"/>
          <w:lang w:eastAsia="ru-RU"/>
        </w:rPr>
        <w:t>в сб</w:t>
      </w:r>
      <w:r w:rsidR="00183587" w:rsidRPr="00247DCB">
        <w:rPr>
          <w:rFonts w:ascii="Times New Roman" w:eastAsia="Times New Roman" w:hAnsi="Times New Roman" w:cs="Times New Roman"/>
          <w:bCs/>
          <w:sz w:val="24"/>
          <w:szCs w:val="24"/>
          <w:lang w:eastAsia="ru-RU"/>
        </w:rPr>
        <w:t>ытовой</w:t>
      </w:r>
      <w:r w:rsidR="000B7E1F" w:rsidRPr="00247DCB">
        <w:rPr>
          <w:rFonts w:ascii="Times New Roman" w:eastAsia="Times New Roman" w:hAnsi="Times New Roman" w:cs="Times New Roman"/>
          <w:bCs/>
          <w:sz w:val="24"/>
          <w:szCs w:val="24"/>
          <w:lang w:eastAsia="ru-RU"/>
        </w:rPr>
        <w:t xml:space="preserve"> надбавке</w:t>
      </w:r>
      <w:r w:rsidR="00183587" w:rsidRPr="00247DCB">
        <w:rPr>
          <w:rFonts w:ascii="Times New Roman" w:eastAsia="Times New Roman" w:hAnsi="Times New Roman" w:cs="Times New Roman"/>
          <w:bCs/>
          <w:sz w:val="24"/>
          <w:szCs w:val="24"/>
          <w:lang w:eastAsia="ru-RU"/>
        </w:rPr>
        <w:t xml:space="preserve"> 2015 и 2016 гг. </w:t>
      </w:r>
      <w:r w:rsidR="000B7E1F" w:rsidRPr="00247DCB">
        <w:rPr>
          <w:rFonts w:ascii="Times New Roman" w:eastAsia="Times New Roman" w:hAnsi="Times New Roman" w:cs="Times New Roman"/>
          <w:bCs/>
          <w:sz w:val="24"/>
          <w:szCs w:val="24"/>
          <w:lang w:eastAsia="ru-RU"/>
        </w:rPr>
        <w:t xml:space="preserve"> </w:t>
      </w:r>
      <w:r w:rsidR="00183587" w:rsidRPr="00247DCB">
        <w:rPr>
          <w:rFonts w:ascii="Times New Roman" w:eastAsia="Times New Roman" w:hAnsi="Times New Roman" w:cs="Times New Roman"/>
          <w:bCs/>
          <w:sz w:val="24"/>
          <w:szCs w:val="24"/>
          <w:lang w:eastAsia="ru-RU"/>
        </w:rPr>
        <w:t xml:space="preserve">средств на проведение проектных работ </w:t>
      </w:r>
      <w:r w:rsidR="000B7E1F" w:rsidRPr="00247DCB">
        <w:rPr>
          <w:rFonts w:ascii="Times New Roman" w:eastAsia="Times New Roman" w:hAnsi="Times New Roman" w:cs="Times New Roman"/>
          <w:bCs/>
          <w:sz w:val="24"/>
          <w:szCs w:val="24"/>
          <w:lang w:eastAsia="ru-RU"/>
        </w:rPr>
        <w:t xml:space="preserve">цена определена </w:t>
      </w:r>
      <w:r w:rsidR="00183587" w:rsidRPr="00247DCB">
        <w:rPr>
          <w:rFonts w:ascii="Times New Roman" w:eastAsia="Times New Roman" w:hAnsi="Times New Roman" w:cs="Times New Roman"/>
          <w:bCs/>
          <w:sz w:val="24"/>
          <w:szCs w:val="24"/>
          <w:lang w:eastAsia="ru-RU"/>
        </w:rPr>
        <w:t>экспертным</w:t>
      </w:r>
      <w:r w:rsidR="000B7E1F" w:rsidRPr="00247DCB">
        <w:rPr>
          <w:rFonts w:ascii="Times New Roman" w:eastAsia="Times New Roman" w:hAnsi="Times New Roman" w:cs="Times New Roman"/>
          <w:bCs/>
          <w:sz w:val="24"/>
          <w:szCs w:val="24"/>
          <w:lang w:eastAsia="ru-RU"/>
        </w:rPr>
        <w:t xml:space="preserve"> путем</w:t>
      </w:r>
      <w:r w:rsidR="00183587" w:rsidRPr="00247DCB">
        <w:rPr>
          <w:rFonts w:ascii="Times New Roman" w:eastAsia="Times New Roman" w:hAnsi="Times New Roman" w:cs="Times New Roman"/>
          <w:bCs/>
          <w:sz w:val="24"/>
          <w:szCs w:val="24"/>
          <w:lang w:eastAsia="ru-RU"/>
        </w:rPr>
        <w:t>.</w:t>
      </w:r>
    </w:p>
    <w:tbl>
      <w:tblPr>
        <w:tblStyle w:val="ac"/>
        <w:tblW w:w="7639" w:type="dxa"/>
        <w:tblLook w:val="04A0" w:firstRow="1" w:lastRow="0" w:firstColumn="1" w:lastColumn="0" w:noHBand="0" w:noVBand="1"/>
      </w:tblPr>
      <w:tblGrid>
        <w:gridCol w:w="3720"/>
        <w:gridCol w:w="982"/>
        <w:gridCol w:w="979"/>
        <w:gridCol w:w="979"/>
        <w:gridCol w:w="979"/>
      </w:tblGrid>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r>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1 030</w:t>
            </w:r>
          </w:p>
        </w:tc>
        <w:tc>
          <w:tcPr>
            <w:tcW w:w="979"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463</w:t>
            </w:r>
          </w:p>
        </w:tc>
        <w:tc>
          <w:tcPr>
            <w:tcW w:w="979"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283</w:t>
            </w:r>
          </w:p>
        </w:tc>
        <w:tc>
          <w:tcPr>
            <w:tcW w:w="979"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283</w:t>
            </w:r>
          </w:p>
        </w:tc>
      </w:tr>
      <w:tr w:rsidR="002A7F83" w:rsidRPr="00247DCB" w:rsidTr="008D55CD">
        <w:tc>
          <w:tcPr>
            <w:tcW w:w="3720" w:type="dxa"/>
          </w:tcPr>
          <w:p w:rsidR="002A7F83" w:rsidRPr="00247DCB" w:rsidRDefault="002A7F83" w:rsidP="00B743E4">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2A7F83" w:rsidRPr="00247DCB" w:rsidRDefault="002A7F83"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1 030</w:t>
            </w:r>
          </w:p>
        </w:tc>
        <w:tc>
          <w:tcPr>
            <w:tcW w:w="979" w:type="dxa"/>
          </w:tcPr>
          <w:p w:rsidR="002A7F83" w:rsidRPr="00247DCB" w:rsidRDefault="002A7F83"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463</w:t>
            </w:r>
          </w:p>
        </w:tc>
        <w:tc>
          <w:tcPr>
            <w:tcW w:w="979" w:type="dxa"/>
          </w:tcPr>
          <w:p w:rsidR="002A7F83" w:rsidRPr="00247DCB" w:rsidRDefault="002A7F83"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283</w:t>
            </w:r>
          </w:p>
        </w:tc>
        <w:tc>
          <w:tcPr>
            <w:tcW w:w="979" w:type="dxa"/>
          </w:tcPr>
          <w:p w:rsidR="002A7F83" w:rsidRPr="00247DCB" w:rsidRDefault="002A7F83"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283</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
          <w:bCs/>
          <w:sz w:val="24"/>
          <w:szCs w:val="24"/>
          <w:lang w:eastAsia="ru-RU"/>
        </w:rPr>
      </w:pPr>
    </w:p>
    <w:p w:rsidR="00CE2301" w:rsidRPr="00247DCB" w:rsidRDefault="00CE2301" w:rsidP="00C4779E">
      <w:pPr>
        <w:pStyle w:val="a3"/>
        <w:numPr>
          <w:ilvl w:val="1"/>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Проект расширения расчётно-информационного центра в с. Долгодеревенском по ул. </w:t>
      </w:r>
      <w:proofErr w:type="gramStart"/>
      <w:r w:rsidRPr="00247DCB">
        <w:rPr>
          <w:rFonts w:ascii="Times New Roman" w:eastAsia="Times New Roman" w:hAnsi="Times New Roman" w:cs="Times New Roman"/>
          <w:b/>
          <w:bCs/>
          <w:sz w:val="24"/>
          <w:szCs w:val="24"/>
          <w:lang w:eastAsia="ru-RU"/>
        </w:rPr>
        <w:t>Свердловская</w:t>
      </w:r>
      <w:proofErr w:type="gramEnd"/>
      <w:r w:rsidRPr="00247DCB">
        <w:rPr>
          <w:rFonts w:ascii="Times New Roman" w:eastAsia="Times New Roman" w:hAnsi="Times New Roman" w:cs="Times New Roman"/>
          <w:b/>
          <w:bCs/>
          <w:sz w:val="24"/>
          <w:szCs w:val="24"/>
          <w:lang w:eastAsia="ru-RU"/>
        </w:rPr>
        <w:t>, д 1А</w:t>
      </w:r>
    </w:p>
    <w:p w:rsidR="00183587" w:rsidRPr="00247DCB" w:rsidRDefault="00183587"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Создание условий для очного обслуживания потребителей, отвечающих требованиям Стандартов обслуживания потребителей</w:t>
      </w:r>
    </w:p>
    <w:p w:rsidR="00183587" w:rsidRPr="00247DCB" w:rsidRDefault="00183587"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183587" w:rsidRPr="00247DCB" w:rsidRDefault="00183587" w:rsidP="0018358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Согласно действующим в Обществе стандартам обслуживания потребителей типовое помещение для очного обслуживания должно располагать площадью не менее чем в 62 м</w:t>
      </w:r>
      <w:proofErr w:type="gramStart"/>
      <w:r w:rsidRPr="00247DCB">
        <w:rPr>
          <w:rFonts w:ascii="Times New Roman" w:eastAsia="Times New Roman" w:hAnsi="Times New Roman" w:cs="Times New Roman"/>
          <w:bCs/>
          <w:sz w:val="24"/>
          <w:szCs w:val="24"/>
          <w:lang w:eastAsia="ru-RU"/>
        </w:rPr>
        <w:t>2</w:t>
      </w:r>
      <w:proofErr w:type="gramEnd"/>
      <w:r w:rsidRPr="00247DCB">
        <w:rPr>
          <w:rFonts w:ascii="Times New Roman" w:eastAsia="Times New Roman" w:hAnsi="Times New Roman" w:cs="Times New Roman"/>
          <w:bCs/>
          <w:sz w:val="24"/>
          <w:szCs w:val="24"/>
          <w:lang w:eastAsia="ru-RU"/>
        </w:rPr>
        <w:t xml:space="preserve">, тогда как здание по адресу с. Долгодеревенское, ул. Свердловская, д. 1А не отвечает данным требованиям. </w:t>
      </w:r>
    </w:p>
    <w:p w:rsidR="00183587" w:rsidRPr="00247DCB" w:rsidRDefault="00183587" w:rsidP="0018358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связи с этим проектом предусматривается расширение зала, в котором происходит обслуживание клиентов и ожидание обслуживания до требуемых норм.</w:t>
      </w:r>
    </w:p>
    <w:p w:rsidR="00166685" w:rsidRPr="00247DCB" w:rsidRDefault="00183587"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 </w:t>
      </w:r>
      <w:r w:rsidR="009700A6" w:rsidRPr="00247DCB">
        <w:rPr>
          <w:rFonts w:ascii="Times New Roman" w:eastAsia="Times New Roman" w:hAnsi="Times New Roman" w:cs="Times New Roman"/>
          <w:bCs/>
          <w:sz w:val="24"/>
          <w:szCs w:val="24"/>
          <w:lang w:eastAsia="ru-RU"/>
        </w:rPr>
        <w:t>связи</w:t>
      </w:r>
      <w:r w:rsidRPr="00247DCB">
        <w:rPr>
          <w:rFonts w:ascii="Times New Roman" w:eastAsia="Times New Roman" w:hAnsi="Times New Roman" w:cs="Times New Roman"/>
          <w:bCs/>
          <w:sz w:val="24"/>
          <w:szCs w:val="24"/>
          <w:lang w:eastAsia="ru-RU"/>
        </w:rPr>
        <w:t xml:space="preserve"> с отсутствием в сбытовой надбавке 2015 и 2016 гг.  средств на проведение проектных работ цена определена экспертным путем.</w:t>
      </w:r>
    </w:p>
    <w:p w:rsidR="00FC7EF7" w:rsidRPr="00247DCB" w:rsidRDefault="00FC7EF7" w:rsidP="00C4779E">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6660" w:type="dxa"/>
        <w:tblLook w:val="04A0" w:firstRow="1" w:lastRow="0" w:firstColumn="1" w:lastColumn="0" w:noHBand="0" w:noVBand="1"/>
      </w:tblPr>
      <w:tblGrid>
        <w:gridCol w:w="3720"/>
        <w:gridCol w:w="982"/>
        <w:gridCol w:w="979"/>
        <w:gridCol w:w="979"/>
      </w:tblGrid>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8D55CD" w:rsidRPr="00247DCB" w:rsidRDefault="006B3724" w:rsidP="008D55CD">
            <w:pPr>
              <w:spacing w:line="36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19 210</w:t>
            </w:r>
          </w:p>
        </w:tc>
        <w:tc>
          <w:tcPr>
            <w:tcW w:w="979" w:type="dxa"/>
          </w:tcPr>
          <w:p w:rsidR="008D55CD" w:rsidRPr="00247DCB" w:rsidRDefault="008D55CD" w:rsidP="006B3724">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50</w:t>
            </w:r>
            <w:r w:rsidR="006B3724">
              <w:rPr>
                <w:rFonts w:ascii="Times New Roman" w:eastAsia="Times New Roman" w:hAnsi="Times New Roman" w:cs="Times New Roman"/>
                <w:b/>
                <w:bCs/>
                <w:sz w:val="20"/>
                <w:szCs w:val="20"/>
                <w:lang w:eastAsia="ru-RU"/>
              </w:rPr>
              <w:t>5</w:t>
            </w:r>
          </w:p>
        </w:tc>
        <w:tc>
          <w:tcPr>
            <w:tcW w:w="979" w:type="dxa"/>
          </w:tcPr>
          <w:p w:rsidR="008D55CD" w:rsidRPr="00247DCB" w:rsidRDefault="006B3724" w:rsidP="006B3724">
            <w:pPr>
              <w:spacing w:line="36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18 7</w:t>
            </w:r>
            <w:r w:rsidR="008D55CD" w:rsidRPr="00247DCB">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5</w:t>
            </w:r>
          </w:p>
        </w:tc>
      </w:tr>
      <w:tr w:rsidR="008D55CD" w:rsidRPr="00247DCB" w:rsidTr="008D55CD">
        <w:tc>
          <w:tcPr>
            <w:tcW w:w="3720" w:type="dxa"/>
          </w:tcPr>
          <w:p w:rsidR="008D55CD" w:rsidRPr="00247DCB" w:rsidRDefault="002A7F83"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8D55CD" w:rsidRPr="00247DCB" w:rsidRDefault="006B3724" w:rsidP="008D55CD">
            <w:pPr>
              <w:spacing w:line="36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19 210</w:t>
            </w:r>
          </w:p>
        </w:tc>
        <w:tc>
          <w:tcPr>
            <w:tcW w:w="979" w:type="dxa"/>
          </w:tcPr>
          <w:p w:rsidR="008D55CD" w:rsidRPr="00247DCB" w:rsidRDefault="008D55CD" w:rsidP="006B3724">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50</w:t>
            </w:r>
            <w:r w:rsidR="006B3724">
              <w:rPr>
                <w:rFonts w:ascii="Times New Roman" w:eastAsia="Times New Roman" w:hAnsi="Times New Roman" w:cs="Times New Roman"/>
                <w:bCs/>
                <w:sz w:val="20"/>
                <w:szCs w:val="20"/>
                <w:lang w:eastAsia="ru-RU"/>
              </w:rPr>
              <w:t>5</w:t>
            </w:r>
          </w:p>
        </w:tc>
        <w:tc>
          <w:tcPr>
            <w:tcW w:w="979" w:type="dxa"/>
          </w:tcPr>
          <w:p w:rsidR="008D55CD" w:rsidRPr="00247DCB" w:rsidRDefault="006B3724" w:rsidP="008D55CD">
            <w:pPr>
              <w:spacing w:line="360" w:lineRule="auto"/>
              <w:contextualSpacing/>
              <w:jc w:val="center"/>
              <w:rPr>
                <w:rFonts w:ascii="Times New Roman" w:eastAsia="Times New Roman" w:hAnsi="Times New Roman" w:cs="Times New Roman"/>
                <w:bCs/>
                <w:sz w:val="20"/>
                <w:szCs w:val="20"/>
                <w:lang w:eastAsia="ru-RU"/>
              </w:rPr>
            </w:pPr>
            <w:r w:rsidRPr="006B3724">
              <w:rPr>
                <w:rFonts w:ascii="Times New Roman" w:eastAsia="Times New Roman" w:hAnsi="Times New Roman" w:cs="Times New Roman"/>
                <w:bCs/>
                <w:sz w:val="20"/>
                <w:szCs w:val="20"/>
                <w:lang w:eastAsia="ru-RU"/>
              </w:rPr>
              <w:t>18 705</w:t>
            </w:r>
          </w:p>
        </w:tc>
      </w:tr>
    </w:tbl>
    <w:p w:rsidR="0094522D" w:rsidRPr="00247DCB" w:rsidRDefault="00CE2301" w:rsidP="00C4779E">
      <w:pPr>
        <w:pStyle w:val="a3"/>
        <w:numPr>
          <w:ilvl w:val="0"/>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 xml:space="preserve">Проект обеспечения функционирования системы </w:t>
      </w:r>
      <w:proofErr w:type="spellStart"/>
      <w:r w:rsidRPr="00247DCB">
        <w:rPr>
          <w:rFonts w:ascii="Times New Roman" w:eastAsia="Times New Roman" w:hAnsi="Times New Roman" w:cs="Times New Roman"/>
          <w:b/>
          <w:bCs/>
          <w:sz w:val="24"/>
          <w:szCs w:val="24"/>
          <w:lang w:eastAsia="ru-RU"/>
        </w:rPr>
        <w:t>биллинга</w:t>
      </w:r>
      <w:proofErr w:type="spellEnd"/>
    </w:p>
    <w:p w:rsidR="00183587" w:rsidRPr="00247DCB" w:rsidRDefault="00183587" w:rsidP="00FD7B97">
      <w:pPr>
        <w:spacing w:after="0" w:line="360" w:lineRule="auto"/>
        <w:ind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повышение производительности оборудования, на котором функционируют программные комплексы, производящие </w:t>
      </w:r>
      <w:proofErr w:type="spellStart"/>
      <w:r w:rsidRPr="00247DCB">
        <w:rPr>
          <w:rFonts w:ascii="Times New Roman" w:eastAsia="Times New Roman" w:hAnsi="Times New Roman" w:cs="Times New Roman"/>
          <w:bCs/>
          <w:sz w:val="24"/>
          <w:szCs w:val="24"/>
          <w:lang w:eastAsia="ru-RU"/>
        </w:rPr>
        <w:t>биллинг</w:t>
      </w:r>
      <w:proofErr w:type="spellEnd"/>
      <w:r w:rsidRPr="00247DCB">
        <w:rPr>
          <w:rFonts w:ascii="Times New Roman" w:eastAsia="Times New Roman" w:hAnsi="Times New Roman" w:cs="Times New Roman"/>
          <w:bCs/>
          <w:sz w:val="24"/>
          <w:szCs w:val="24"/>
          <w:lang w:eastAsia="ru-RU"/>
        </w:rPr>
        <w:t xml:space="preserve"> для физических и  юридических лиц. Предотвращение остановки программных комплексов, в которых осуществляется </w:t>
      </w:r>
      <w:proofErr w:type="spellStart"/>
      <w:r w:rsidRPr="00247DCB">
        <w:rPr>
          <w:rFonts w:ascii="Times New Roman" w:eastAsia="Times New Roman" w:hAnsi="Times New Roman" w:cs="Times New Roman"/>
          <w:bCs/>
          <w:sz w:val="24"/>
          <w:szCs w:val="24"/>
          <w:lang w:eastAsia="ru-RU"/>
        </w:rPr>
        <w:t>биллинг</w:t>
      </w:r>
      <w:proofErr w:type="spellEnd"/>
      <w:r w:rsidRPr="00247DCB">
        <w:rPr>
          <w:rFonts w:ascii="Times New Roman" w:eastAsia="Times New Roman" w:hAnsi="Times New Roman" w:cs="Times New Roman"/>
          <w:bCs/>
          <w:sz w:val="24"/>
          <w:szCs w:val="24"/>
          <w:lang w:eastAsia="ru-RU"/>
        </w:rPr>
        <w:t xml:space="preserve"> для физических и юридических лиц</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Гарантирующий поставщик обязан в сроки и </w:t>
      </w:r>
      <w:proofErr w:type="gramStart"/>
      <w:r w:rsidRPr="00247DCB">
        <w:rPr>
          <w:rFonts w:ascii="Times New Roman" w:eastAsia="Times New Roman" w:hAnsi="Times New Roman" w:cs="Times New Roman"/>
          <w:bCs/>
          <w:sz w:val="24"/>
          <w:szCs w:val="24"/>
          <w:lang w:eastAsia="ru-RU"/>
        </w:rPr>
        <w:t>порядке</w:t>
      </w:r>
      <w:proofErr w:type="gramEnd"/>
      <w:r w:rsidRPr="00247DCB">
        <w:rPr>
          <w:rFonts w:ascii="Times New Roman" w:eastAsia="Times New Roman" w:hAnsi="Times New Roman" w:cs="Times New Roman"/>
          <w:bCs/>
          <w:sz w:val="24"/>
          <w:szCs w:val="24"/>
          <w:lang w:eastAsia="ru-RU"/>
        </w:rPr>
        <w:t xml:space="preserve">, установленные Основными положениями функционирования розничных рынков (Постановление Правительства от 04.05.2012 г. № 442), производить расчёты с потребителями находящимися у него на обслуживании. </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выполнения расчётов с потребителями, что является основной функций гарантирующего поставщика, с 2010 г. на предприятии выстраивается система взаиморасчетов с потребителями, далее "АСУ </w:t>
      </w:r>
      <w:proofErr w:type="spellStart"/>
      <w:r w:rsidRPr="00247DCB">
        <w:rPr>
          <w:rFonts w:ascii="Times New Roman" w:eastAsia="Times New Roman" w:hAnsi="Times New Roman" w:cs="Times New Roman"/>
          <w:bCs/>
          <w:sz w:val="24"/>
          <w:szCs w:val="24"/>
          <w:lang w:eastAsia="ru-RU"/>
        </w:rPr>
        <w:t>Биллинг</w:t>
      </w:r>
      <w:proofErr w:type="spellEnd"/>
      <w:r w:rsidRPr="00247DCB">
        <w:rPr>
          <w:rFonts w:ascii="Times New Roman" w:eastAsia="Times New Roman" w:hAnsi="Times New Roman" w:cs="Times New Roman"/>
          <w:bCs/>
          <w:sz w:val="24"/>
          <w:szCs w:val="24"/>
          <w:lang w:eastAsia="ru-RU"/>
        </w:rPr>
        <w:t xml:space="preserve">". </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Система является целостным программно-аппаратным комплексом, охватывающим следующие функциональные области:</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управление </w:t>
      </w:r>
      <w:proofErr w:type="spellStart"/>
      <w:r w:rsidRPr="00247DCB">
        <w:rPr>
          <w:rFonts w:ascii="Times New Roman" w:eastAsia="Times New Roman" w:hAnsi="Times New Roman" w:cs="Times New Roman"/>
          <w:bCs/>
          <w:sz w:val="24"/>
          <w:szCs w:val="24"/>
          <w:lang w:eastAsia="ru-RU"/>
        </w:rPr>
        <w:t>энерго</w:t>
      </w:r>
      <w:proofErr w:type="spellEnd"/>
      <w:r w:rsidRPr="00247DCB">
        <w:rPr>
          <w:rFonts w:ascii="Times New Roman" w:eastAsia="Times New Roman" w:hAnsi="Times New Roman" w:cs="Times New Roman"/>
          <w:bCs/>
          <w:sz w:val="24"/>
          <w:szCs w:val="24"/>
          <w:lang w:eastAsia="ru-RU"/>
        </w:rPr>
        <w:t>-данными измерений и приборами учета по физическим лицам;</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управление начислениями и взаиморасчетами с физическими лицами;</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управление </w:t>
      </w:r>
      <w:proofErr w:type="spellStart"/>
      <w:r w:rsidRPr="00247DCB">
        <w:rPr>
          <w:rFonts w:ascii="Times New Roman" w:eastAsia="Times New Roman" w:hAnsi="Times New Roman" w:cs="Times New Roman"/>
          <w:bCs/>
          <w:sz w:val="24"/>
          <w:szCs w:val="24"/>
          <w:lang w:eastAsia="ru-RU"/>
        </w:rPr>
        <w:t>энерго</w:t>
      </w:r>
      <w:proofErr w:type="spellEnd"/>
      <w:r w:rsidRPr="00247DCB">
        <w:rPr>
          <w:rFonts w:ascii="Times New Roman" w:eastAsia="Times New Roman" w:hAnsi="Times New Roman" w:cs="Times New Roman"/>
          <w:bCs/>
          <w:sz w:val="24"/>
          <w:szCs w:val="24"/>
          <w:lang w:eastAsia="ru-RU"/>
        </w:rPr>
        <w:t>-данными  измерений и приборами учета по юридическим лицам;</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управление начислениями и взаиморасчетами с юридическими лицами;</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Ежемесячный объем расчетов составляет порядка 1 368 тыс. физических лиц и 42 077 шт. - количество договоров с юридическими лицами. </w:t>
      </w:r>
    </w:p>
    <w:p w:rsidR="00835789" w:rsidRPr="00247DCB"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 xml:space="preserve">В настоящий момент производительность аппаратного комплекса (сервера, на которые установлено программное обеспечение, виртуальная среда)  недостаточна для нормальной работы из-за сильно возросшего объёма «исторических» данных, есть вышедшие из строя элементы, требующие замены. </w:t>
      </w:r>
      <w:proofErr w:type="gramEnd"/>
    </w:p>
    <w:p w:rsidR="00786C2A" w:rsidRPr="00247DCB" w:rsidRDefault="00786C2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Основным последствием в случае отказа от реализации проекта является остановка </w:t>
      </w:r>
      <w:proofErr w:type="spellStart"/>
      <w:r w:rsidRPr="00247DCB">
        <w:rPr>
          <w:rFonts w:ascii="Times New Roman" w:eastAsia="Times New Roman" w:hAnsi="Times New Roman" w:cs="Times New Roman"/>
          <w:bCs/>
          <w:sz w:val="24"/>
          <w:szCs w:val="24"/>
          <w:lang w:eastAsia="ru-RU"/>
        </w:rPr>
        <w:t>биллинга</w:t>
      </w:r>
      <w:proofErr w:type="spellEnd"/>
      <w:r w:rsidRPr="00247DCB">
        <w:rPr>
          <w:rFonts w:ascii="Times New Roman" w:eastAsia="Times New Roman" w:hAnsi="Times New Roman" w:cs="Times New Roman"/>
          <w:bCs/>
          <w:sz w:val="24"/>
          <w:szCs w:val="24"/>
          <w:lang w:eastAsia="ru-RU"/>
        </w:rPr>
        <w:t xml:space="preserve"> физических и юридических лиц. </w:t>
      </w:r>
    </w:p>
    <w:p w:rsidR="00786C2A" w:rsidRPr="00247DCB" w:rsidRDefault="00786C2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реализации проекта необходимо приобретение </w:t>
      </w:r>
      <w:r w:rsidR="00166685" w:rsidRPr="00247DCB">
        <w:rPr>
          <w:rFonts w:ascii="Times New Roman" w:eastAsia="Times New Roman" w:hAnsi="Times New Roman" w:cs="Times New Roman"/>
          <w:bCs/>
          <w:sz w:val="24"/>
          <w:szCs w:val="24"/>
          <w:lang w:eastAsia="ru-RU"/>
        </w:rPr>
        <w:t xml:space="preserve">серверного </w:t>
      </w:r>
      <w:r w:rsidRPr="00247DCB">
        <w:rPr>
          <w:rFonts w:ascii="Times New Roman" w:eastAsia="Times New Roman" w:hAnsi="Times New Roman" w:cs="Times New Roman"/>
          <w:bCs/>
          <w:sz w:val="24"/>
          <w:szCs w:val="24"/>
          <w:lang w:eastAsia="ru-RU"/>
        </w:rPr>
        <w:t>оборудова</w:t>
      </w:r>
      <w:r w:rsidR="00166685" w:rsidRPr="00247DCB">
        <w:rPr>
          <w:rFonts w:ascii="Times New Roman" w:eastAsia="Times New Roman" w:hAnsi="Times New Roman" w:cs="Times New Roman"/>
          <w:bCs/>
          <w:sz w:val="24"/>
          <w:szCs w:val="24"/>
          <w:lang w:eastAsia="ru-RU"/>
        </w:rPr>
        <w:t xml:space="preserve">ния, в </w:t>
      </w:r>
      <w:proofErr w:type="spellStart"/>
      <w:r w:rsidR="00166685" w:rsidRPr="00247DCB">
        <w:rPr>
          <w:rFonts w:ascii="Times New Roman" w:eastAsia="Times New Roman" w:hAnsi="Times New Roman" w:cs="Times New Roman"/>
          <w:bCs/>
          <w:sz w:val="24"/>
          <w:szCs w:val="24"/>
          <w:lang w:eastAsia="ru-RU"/>
        </w:rPr>
        <w:t>т.ч</w:t>
      </w:r>
      <w:proofErr w:type="spellEnd"/>
      <w:r w:rsidR="00166685" w:rsidRPr="00247DCB">
        <w:rPr>
          <w:rFonts w:ascii="Times New Roman" w:eastAsia="Times New Roman" w:hAnsi="Times New Roman" w:cs="Times New Roman"/>
          <w:bCs/>
          <w:sz w:val="24"/>
          <w:szCs w:val="24"/>
          <w:lang w:eastAsia="ru-RU"/>
        </w:rPr>
        <w:t>.:</w:t>
      </w:r>
    </w:p>
    <w:p w:rsidR="00166685" w:rsidRPr="00247DCB" w:rsidRDefault="00166685" w:rsidP="00C4779E">
      <w:pPr>
        <w:pStyle w:val="a3"/>
        <w:numPr>
          <w:ilvl w:val="0"/>
          <w:numId w:val="7"/>
        </w:numPr>
        <w:spacing w:after="0" w:line="360" w:lineRule="auto"/>
        <w:jc w:val="both"/>
        <w:rPr>
          <w:rFonts w:ascii="Times New Roman" w:eastAsia="Times New Roman" w:hAnsi="Times New Roman" w:cs="Times New Roman"/>
          <w:bCs/>
          <w:sz w:val="24"/>
          <w:szCs w:val="24"/>
          <w:lang w:val="en-US" w:eastAsia="ru-RU"/>
        </w:rPr>
      </w:pPr>
      <w:proofErr w:type="spellStart"/>
      <w:r w:rsidRPr="00247DCB">
        <w:rPr>
          <w:rFonts w:ascii="Times New Roman" w:eastAsia="Times New Roman" w:hAnsi="Times New Roman" w:cs="Times New Roman"/>
          <w:bCs/>
          <w:sz w:val="24"/>
          <w:szCs w:val="24"/>
          <w:lang w:val="en-US" w:eastAsia="ru-RU"/>
        </w:rPr>
        <w:t>Exadata</w:t>
      </w:r>
      <w:proofErr w:type="spellEnd"/>
      <w:r w:rsidRPr="00247DCB">
        <w:rPr>
          <w:rFonts w:ascii="Times New Roman" w:eastAsia="Times New Roman" w:hAnsi="Times New Roman" w:cs="Times New Roman"/>
          <w:bCs/>
          <w:sz w:val="24"/>
          <w:szCs w:val="24"/>
          <w:lang w:val="en-US" w:eastAsia="ru-RU"/>
        </w:rPr>
        <w:t xml:space="preserve"> Database Machine X5-2</w:t>
      </w:r>
      <w:r w:rsidR="007B48BC" w:rsidRPr="00247DCB">
        <w:rPr>
          <w:rFonts w:ascii="Times New Roman" w:eastAsia="Times New Roman" w:hAnsi="Times New Roman" w:cs="Times New Roman"/>
          <w:bCs/>
          <w:sz w:val="24"/>
          <w:szCs w:val="24"/>
          <w:lang w:eastAsia="ru-RU"/>
        </w:rPr>
        <w:t>;</w:t>
      </w:r>
    </w:p>
    <w:p w:rsidR="00166685" w:rsidRPr="00247DCB" w:rsidRDefault="00166685" w:rsidP="00C4779E">
      <w:pPr>
        <w:pStyle w:val="a3"/>
        <w:numPr>
          <w:ilvl w:val="0"/>
          <w:numId w:val="7"/>
        </w:numPr>
        <w:spacing w:after="0" w:line="360" w:lineRule="auto"/>
        <w:jc w:val="both"/>
        <w:rPr>
          <w:rFonts w:ascii="Times New Roman" w:eastAsia="Times New Roman" w:hAnsi="Times New Roman" w:cs="Times New Roman"/>
          <w:bCs/>
          <w:sz w:val="24"/>
          <w:szCs w:val="24"/>
          <w:lang w:val="en-US" w:eastAsia="ru-RU"/>
        </w:rPr>
      </w:pPr>
      <w:proofErr w:type="spellStart"/>
      <w:r w:rsidRPr="00247DCB">
        <w:rPr>
          <w:rFonts w:ascii="Times New Roman" w:eastAsia="Times New Roman" w:hAnsi="Times New Roman" w:cs="Times New Roman"/>
          <w:bCs/>
          <w:sz w:val="24"/>
          <w:szCs w:val="24"/>
          <w:lang w:val="en-US" w:eastAsia="ru-RU"/>
        </w:rPr>
        <w:t>Exalogic</w:t>
      </w:r>
      <w:proofErr w:type="spellEnd"/>
      <w:r w:rsidRPr="00247DCB">
        <w:rPr>
          <w:rFonts w:ascii="Times New Roman" w:eastAsia="Times New Roman" w:hAnsi="Times New Roman" w:cs="Times New Roman"/>
          <w:bCs/>
          <w:sz w:val="24"/>
          <w:szCs w:val="24"/>
          <w:lang w:val="en-US" w:eastAsia="ru-RU"/>
        </w:rPr>
        <w:t xml:space="preserve"> Elastic Cloud X52</w:t>
      </w:r>
      <w:r w:rsidR="007B48BC" w:rsidRPr="00247DCB">
        <w:rPr>
          <w:rFonts w:ascii="Times New Roman" w:eastAsia="Times New Roman" w:hAnsi="Times New Roman" w:cs="Times New Roman"/>
          <w:bCs/>
          <w:sz w:val="24"/>
          <w:szCs w:val="24"/>
          <w:lang w:eastAsia="ru-RU"/>
        </w:rPr>
        <w:t>;</w:t>
      </w:r>
    </w:p>
    <w:p w:rsidR="007B48BC" w:rsidRPr="00247DCB" w:rsidRDefault="007B48BC" w:rsidP="00C4779E">
      <w:pPr>
        <w:pStyle w:val="a3"/>
        <w:numPr>
          <w:ilvl w:val="0"/>
          <w:numId w:val="7"/>
        </w:numPr>
        <w:spacing w:after="0" w:line="360" w:lineRule="auto"/>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eastAsia="ru-RU"/>
        </w:rPr>
        <w:t>Оборудования для передачи данных.</w:t>
      </w:r>
    </w:p>
    <w:p w:rsidR="00247DCB" w:rsidRDefault="00247DCB" w:rsidP="00247DCB">
      <w:pPr>
        <w:pStyle w:val="a3"/>
        <w:spacing w:after="0" w:line="360" w:lineRule="auto"/>
        <w:ind w:left="1068"/>
        <w:jc w:val="both"/>
        <w:rPr>
          <w:rFonts w:ascii="Times New Roman" w:eastAsia="Times New Roman" w:hAnsi="Times New Roman" w:cs="Times New Roman"/>
          <w:bCs/>
          <w:sz w:val="24"/>
          <w:szCs w:val="24"/>
          <w:lang w:eastAsia="ru-RU"/>
        </w:rPr>
      </w:pPr>
    </w:p>
    <w:p w:rsidR="00247DCB" w:rsidRDefault="00247DCB" w:rsidP="00247DCB">
      <w:pPr>
        <w:pStyle w:val="a3"/>
        <w:spacing w:after="0" w:line="360" w:lineRule="auto"/>
        <w:ind w:left="1068"/>
        <w:jc w:val="both"/>
        <w:rPr>
          <w:rFonts w:ascii="Times New Roman" w:eastAsia="Times New Roman" w:hAnsi="Times New Roman" w:cs="Times New Roman"/>
          <w:bCs/>
          <w:sz w:val="24"/>
          <w:szCs w:val="24"/>
          <w:lang w:eastAsia="ru-RU"/>
        </w:rPr>
      </w:pPr>
    </w:p>
    <w:p w:rsidR="00247DCB" w:rsidRPr="00247DCB" w:rsidRDefault="00247DCB" w:rsidP="00247DCB">
      <w:pPr>
        <w:pStyle w:val="a3"/>
        <w:spacing w:after="0" w:line="360" w:lineRule="auto"/>
        <w:ind w:left="1068"/>
        <w:jc w:val="both"/>
        <w:rPr>
          <w:rFonts w:ascii="Times New Roman" w:eastAsia="Times New Roman" w:hAnsi="Times New Roman" w:cs="Times New Roman"/>
          <w:bCs/>
          <w:sz w:val="24"/>
          <w:szCs w:val="24"/>
          <w:lang w:val="en-US" w:eastAsia="ru-RU"/>
        </w:rPr>
      </w:pPr>
    </w:p>
    <w:tbl>
      <w:tblPr>
        <w:tblStyle w:val="ac"/>
        <w:tblW w:w="7639" w:type="dxa"/>
        <w:tblLook w:val="04A0" w:firstRow="1" w:lastRow="0" w:firstColumn="1" w:lastColumn="0" w:noHBand="0" w:noVBand="1"/>
      </w:tblPr>
      <w:tblGrid>
        <w:gridCol w:w="3720"/>
        <w:gridCol w:w="982"/>
        <w:gridCol w:w="979"/>
        <w:gridCol w:w="979"/>
        <w:gridCol w:w="979"/>
      </w:tblGrid>
      <w:tr w:rsidR="00021C6B" w:rsidRPr="00247DCB" w:rsidTr="00021C6B">
        <w:tc>
          <w:tcPr>
            <w:tcW w:w="3720" w:type="dxa"/>
          </w:tcPr>
          <w:p w:rsidR="00021C6B" w:rsidRPr="00247DCB" w:rsidRDefault="00021C6B"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lastRenderedPageBreak/>
              <w:t>Стоимость проекта, тыс. руб. (без НДС)</w:t>
            </w:r>
          </w:p>
        </w:tc>
        <w:tc>
          <w:tcPr>
            <w:tcW w:w="982" w:type="dxa"/>
            <w:vAlign w:val="center"/>
          </w:tcPr>
          <w:p w:rsidR="00021C6B" w:rsidRPr="00247DCB" w:rsidRDefault="00021C6B"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021C6B" w:rsidRPr="00247DCB" w:rsidRDefault="00021C6B"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021C6B" w:rsidRPr="00247DCB" w:rsidRDefault="00021C6B"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021C6B" w:rsidRPr="00247DCB" w:rsidRDefault="00021C6B"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r>
      <w:tr w:rsidR="00021C6B" w:rsidRPr="00247DCB" w:rsidTr="00021C6B">
        <w:tc>
          <w:tcPr>
            <w:tcW w:w="3720" w:type="dxa"/>
          </w:tcPr>
          <w:p w:rsidR="00021C6B" w:rsidRPr="00247DCB" w:rsidRDefault="00021C6B" w:rsidP="00A83759">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vAlign w:val="center"/>
          </w:tcPr>
          <w:p w:rsidR="00021C6B" w:rsidRPr="00247DCB" w:rsidRDefault="00021C6B" w:rsidP="00021C6B">
            <w:pPr>
              <w:spacing w:line="36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412</w:t>
            </w:r>
            <w:r w:rsidRPr="00247DCB">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751</w:t>
            </w: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198 187</w:t>
            </w: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107 282</w:t>
            </w: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107 282</w:t>
            </w:r>
          </w:p>
        </w:tc>
      </w:tr>
      <w:tr w:rsidR="00021C6B" w:rsidRPr="00247DCB" w:rsidTr="00021C6B">
        <w:tc>
          <w:tcPr>
            <w:tcW w:w="3720" w:type="dxa"/>
          </w:tcPr>
          <w:p w:rsidR="00021C6B" w:rsidRPr="00247DCB" w:rsidRDefault="00021C6B"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90 905</w:t>
            </w: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90 905</w:t>
            </w: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Cs/>
                <w:sz w:val="20"/>
                <w:szCs w:val="20"/>
                <w:lang w:eastAsia="ru-RU"/>
              </w:rPr>
            </w:pP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Cs/>
                <w:sz w:val="20"/>
                <w:szCs w:val="20"/>
                <w:lang w:eastAsia="ru-RU"/>
              </w:rPr>
            </w:pPr>
          </w:p>
        </w:tc>
      </w:tr>
      <w:tr w:rsidR="00021C6B" w:rsidRPr="00247DCB" w:rsidTr="00021C6B">
        <w:tc>
          <w:tcPr>
            <w:tcW w:w="3720" w:type="dxa"/>
          </w:tcPr>
          <w:p w:rsidR="00021C6B" w:rsidRPr="00247DCB" w:rsidRDefault="00021C6B"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vAlign w:val="center"/>
          </w:tcPr>
          <w:p w:rsidR="00021C6B" w:rsidRPr="00247DCB" w:rsidRDefault="00021C6B" w:rsidP="00021C6B">
            <w:pPr>
              <w:spacing w:line="36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321</w:t>
            </w:r>
            <w:r w:rsidRPr="00247DC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846</w:t>
            </w: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107 282</w:t>
            </w: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107 282</w:t>
            </w:r>
          </w:p>
        </w:tc>
        <w:tc>
          <w:tcPr>
            <w:tcW w:w="979" w:type="dxa"/>
            <w:vAlign w:val="center"/>
          </w:tcPr>
          <w:p w:rsidR="00021C6B" w:rsidRPr="00247DCB"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107 282</w:t>
            </w:r>
          </w:p>
        </w:tc>
      </w:tr>
      <w:tr w:rsidR="00021C6B" w:rsidRPr="00247DCB" w:rsidTr="00021C6B">
        <w:tc>
          <w:tcPr>
            <w:tcW w:w="3720" w:type="dxa"/>
          </w:tcPr>
          <w:p w:rsidR="00021C6B" w:rsidRPr="00247DCB" w:rsidRDefault="00021C6B" w:rsidP="00B743E4">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 по внедрению программного обеспечения</w:t>
            </w:r>
          </w:p>
        </w:tc>
        <w:tc>
          <w:tcPr>
            <w:tcW w:w="982" w:type="dxa"/>
            <w:vAlign w:val="center"/>
          </w:tcPr>
          <w:p w:rsidR="00021C6B" w:rsidRPr="00247DCB" w:rsidRDefault="00021C6B">
            <w:pPr>
              <w:jc w:val="both"/>
              <w:rPr>
                <w:b/>
                <w:bCs/>
                <w:color w:val="000000"/>
                <w:sz w:val="20"/>
                <w:szCs w:val="20"/>
              </w:rPr>
            </w:pPr>
          </w:p>
        </w:tc>
        <w:tc>
          <w:tcPr>
            <w:tcW w:w="979" w:type="dxa"/>
            <w:vAlign w:val="center"/>
          </w:tcPr>
          <w:p w:rsidR="00021C6B" w:rsidRPr="00247DCB" w:rsidRDefault="00021C6B">
            <w:pPr>
              <w:jc w:val="both"/>
              <w:rPr>
                <w:b/>
                <w:bCs/>
                <w:color w:val="000000"/>
                <w:sz w:val="20"/>
                <w:szCs w:val="20"/>
              </w:rPr>
            </w:pPr>
          </w:p>
        </w:tc>
        <w:tc>
          <w:tcPr>
            <w:tcW w:w="979" w:type="dxa"/>
            <w:vAlign w:val="center"/>
          </w:tcPr>
          <w:p w:rsidR="00021C6B" w:rsidRPr="00247DCB" w:rsidRDefault="00021C6B">
            <w:pPr>
              <w:jc w:val="both"/>
              <w:rPr>
                <w:b/>
                <w:bCs/>
                <w:color w:val="000000"/>
                <w:sz w:val="20"/>
                <w:szCs w:val="20"/>
              </w:rPr>
            </w:pPr>
          </w:p>
        </w:tc>
        <w:tc>
          <w:tcPr>
            <w:tcW w:w="979" w:type="dxa"/>
            <w:vAlign w:val="center"/>
          </w:tcPr>
          <w:p w:rsidR="00021C6B" w:rsidRPr="00247DCB" w:rsidRDefault="00021C6B">
            <w:pPr>
              <w:jc w:val="both"/>
              <w:rPr>
                <w:b/>
                <w:bCs/>
                <w:color w:val="000000"/>
                <w:sz w:val="20"/>
                <w:szCs w:val="20"/>
              </w:rPr>
            </w:pPr>
          </w:p>
        </w:tc>
      </w:tr>
    </w:tbl>
    <w:p w:rsidR="000A63CA" w:rsidRPr="00247DCB" w:rsidRDefault="000A63CA" w:rsidP="00C4779E">
      <w:pPr>
        <w:pStyle w:val="a3"/>
        <w:numPr>
          <w:ilvl w:val="0"/>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Соблюдение требований работы на оптовом рынке электроэнергии и мощности</w:t>
      </w:r>
    </w:p>
    <w:p w:rsidR="009700A6" w:rsidRPr="00247DCB" w:rsidRDefault="00183587" w:rsidP="009700A6">
      <w:pPr>
        <w:pStyle w:val="a3"/>
        <w:spacing w:after="0" w:line="360" w:lineRule="auto"/>
        <w:ind w:left="0"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w:t>
      </w:r>
      <w:r w:rsidR="009700A6" w:rsidRPr="00247DCB">
        <w:rPr>
          <w:rFonts w:ascii="Times New Roman" w:eastAsia="Times New Roman" w:hAnsi="Times New Roman" w:cs="Times New Roman"/>
          <w:bCs/>
          <w:sz w:val="24"/>
          <w:szCs w:val="24"/>
          <w:lang w:eastAsia="ru-RU"/>
        </w:rPr>
        <w:t xml:space="preserve">снижение юридических и технологических рисков ПАО «Челябэнергосбыт», связанных с соответствием использования программного обеспечения </w:t>
      </w:r>
      <w:proofErr w:type="spellStart"/>
      <w:r w:rsidR="009700A6" w:rsidRPr="00247DCB">
        <w:rPr>
          <w:rFonts w:ascii="Times New Roman" w:eastAsia="Times New Roman" w:hAnsi="Times New Roman" w:cs="Times New Roman"/>
          <w:bCs/>
          <w:sz w:val="24"/>
          <w:szCs w:val="24"/>
          <w:lang w:eastAsia="ru-RU"/>
        </w:rPr>
        <w:t>Microsoft</w:t>
      </w:r>
      <w:proofErr w:type="spellEnd"/>
      <w:r w:rsidR="009700A6" w:rsidRPr="00247DCB">
        <w:rPr>
          <w:rFonts w:ascii="Times New Roman" w:eastAsia="Times New Roman" w:hAnsi="Times New Roman" w:cs="Times New Roman"/>
          <w:bCs/>
          <w:sz w:val="24"/>
          <w:szCs w:val="24"/>
          <w:lang w:eastAsia="ru-RU"/>
        </w:rPr>
        <w:t xml:space="preserve"> лицензионным политикам производителя и законодательства РФ, высокой вероятностью выхода из строя оборудования в виду его физического износа.</w:t>
      </w:r>
    </w:p>
    <w:p w:rsidR="007B48BC" w:rsidRPr="00247DCB" w:rsidRDefault="007B48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соответствии с требованиями оптового рынка электроэнергии и мощности, все приборы уче</w:t>
      </w:r>
      <w:bookmarkStart w:id="0" w:name="_GoBack"/>
      <w:bookmarkEnd w:id="0"/>
      <w:r w:rsidRPr="00247DCB">
        <w:rPr>
          <w:rFonts w:ascii="Times New Roman" w:eastAsia="Times New Roman" w:hAnsi="Times New Roman" w:cs="Times New Roman"/>
          <w:bCs/>
          <w:sz w:val="24"/>
          <w:szCs w:val="24"/>
          <w:lang w:eastAsia="ru-RU"/>
        </w:rPr>
        <w:t>та</w:t>
      </w:r>
      <w:r w:rsidR="00AF06B2" w:rsidRPr="00247DCB">
        <w:rPr>
          <w:rFonts w:ascii="Times New Roman" w:eastAsia="Times New Roman" w:hAnsi="Times New Roman" w:cs="Times New Roman"/>
          <w:bCs/>
          <w:sz w:val="24"/>
          <w:szCs w:val="24"/>
          <w:lang w:eastAsia="ru-RU"/>
        </w:rPr>
        <w:t xml:space="preserve"> электроэнергии (АИИС КУЭ потового рынка) </w:t>
      </w:r>
      <w:r w:rsidR="00A14ABC" w:rsidRPr="00247DCB">
        <w:rPr>
          <w:rFonts w:ascii="Times New Roman" w:eastAsia="Times New Roman" w:hAnsi="Times New Roman" w:cs="Times New Roman"/>
          <w:bCs/>
          <w:sz w:val="24"/>
          <w:szCs w:val="24"/>
          <w:lang w:eastAsia="ru-RU"/>
        </w:rPr>
        <w:t xml:space="preserve"> раз в четыре года</w:t>
      </w:r>
      <w:r w:rsidRPr="00247DCB">
        <w:rPr>
          <w:rFonts w:ascii="Times New Roman" w:eastAsia="Times New Roman" w:hAnsi="Times New Roman" w:cs="Times New Roman"/>
          <w:bCs/>
          <w:sz w:val="24"/>
          <w:szCs w:val="24"/>
          <w:lang w:eastAsia="ru-RU"/>
        </w:rPr>
        <w:t xml:space="preserve"> проходят проверку </w:t>
      </w:r>
      <w:r w:rsidR="00F34B9C" w:rsidRPr="00247DCB">
        <w:rPr>
          <w:rFonts w:ascii="Times New Roman" w:eastAsia="Times New Roman" w:hAnsi="Times New Roman" w:cs="Times New Roman"/>
          <w:bCs/>
          <w:sz w:val="24"/>
          <w:szCs w:val="24"/>
          <w:lang w:eastAsia="ru-RU"/>
        </w:rPr>
        <w:t xml:space="preserve">Федерального агентства по техническому регулированию и метрологии. </w:t>
      </w:r>
      <w:r w:rsidR="00710B35" w:rsidRPr="00247DCB">
        <w:rPr>
          <w:rFonts w:ascii="Times New Roman" w:eastAsia="Times New Roman" w:hAnsi="Times New Roman" w:cs="Times New Roman"/>
          <w:bCs/>
          <w:sz w:val="24"/>
          <w:szCs w:val="24"/>
          <w:lang w:eastAsia="ru-RU"/>
        </w:rPr>
        <w:t>Очередная</w:t>
      </w:r>
      <w:r w:rsidR="00F34B9C" w:rsidRPr="00247DCB">
        <w:rPr>
          <w:rFonts w:ascii="Times New Roman" w:eastAsia="Times New Roman" w:hAnsi="Times New Roman" w:cs="Times New Roman"/>
          <w:bCs/>
          <w:sz w:val="24"/>
          <w:szCs w:val="24"/>
          <w:lang w:eastAsia="ru-RU"/>
        </w:rPr>
        <w:t xml:space="preserve"> проверка приборов учета Общества назначена на 12.07.2017 (копия свидетельства приложена).</w:t>
      </w:r>
    </w:p>
    <w:p w:rsidR="009700A6" w:rsidRPr="00247DCB" w:rsidRDefault="00F34B9C" w:rsidP="009700A6">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 этом </w:t>
      </w:r>
      <w:r w:rsidR="00A62357" w:rsidRPr="00247DCB">
        <w:rPr>
          <w:rFonts w:ascii="Times New Roman" w:eastAsia="Times New Roman" w:hAnsi="Times New Roman" w:cs="Times New Roman"/>
          <w:bCs/>
          <w:sz w:val="24"/>
          <w:szCs w:val="24"/>
          <w:lang w:eastAsia="ru-RU"/>
        </w:rPr>
        <w:t xml:space="preserve">аудит АИС КУЭ ПАО «Челябэнергосбыт»  </w:t>
      </w:r>
      <w:r w:rsidR="003E7AB9" w:rsidRPr="00247DCB">
        <w:rPr>
          <w:rFonts w:ascii="Times New Roman" w:eastAsia="Times New Roman" w:hAnsi="Times New Roman" w:cs="Times New Roman"/>
          <w:bCs/>
          <w:sz w:val="24"/>
          <w:szCs w:val="24"/>
          <w:lang w:eastAsia="ru-RU"/>
        </w:rPr>
        <w:t xml:space="preserve">проведенный </w:t>
      </w:r>
      <w:r w:rsidR="00A62357" w:rsidRPr="00247DCB">
        <w:rPr>
          <w:rFonts w:ascii="Times New Roman" w:eastAsia="Times New Roman" w:hAnsi="Times New Roman" w:cs="Times New Roman"/>
          <w:bCs/>
          <w:sz w:val="24"/>
          <w:szCs w:val="24"/>
          <w:lang w:eastAsia="ru-RU"/>
        </w:rPr>
        <w:t>компанией ООО «РВС»</w:t>
      </w:r>
      <w:r w:rsidR="003E7AB9" w:rsidRPr="00247DCB">
        <w:rPr>
          <w:rFonts w:ascii="Times New Roman" w:eastAsia="Times New Roman" w:hAnsi="Times New Roman" w:cs="Times New Roman"/>
          <w:bCs/>
          <w:sz w:val="24"/>
          <w:szCs w:val="24"/>
          <w:lang w:eastAsia="ru-RU"/>
        </w:rPr>
        <w:t xml:space="preserve"> (</w:t>
      </w:r>
      <w:r w:rsidR="00710B35" w:rsidRPr="00247DCB">
        <w:rPr>
          <w:rFonts w:ascii="Times New Roman" w:eastAsia="Times New Roman" w:hAnsi="Times New Roman" w:cs="Times New Roman"/>
          <w:bCs/>
          <w:sz w:val="24"/>
          <w:szCs w:val="24"/>
          <w:lang w:eastAsia="ru-RU"/>
        </w:rPr>
        <w:t>компания определена на основе конкурсных процедур)</w:t>
      </w:r>
      <w:r w:rsidR="00A62357" w:rsidRPr="00247DCB">
        <w:rPr>
          <w:rFonts w:ascii="Times New Roman" w:eastAsia="Times New Roman" w:hAnsi="Times New Roman" w:cs="Times New Roman"/>
          <w:bCs/>
          <w:sz w:val="24"/>
          <w:szCs w:val="24"/>
          <w:lang w:eastAsia="ru-RU"/>
        </w:rPr>
        <w:t>, специализирующейся на создании систем коммерческого учёта</w:t>
      </w:r>
      <w:r w:rsidR="009700A6" w:rsidRPr="00247DCB">
        <w:rPr>
          <w:rFonts w:ascii="Times New Roman" w:eastAsia="Times New Roman" w:hAnsi="Times New Roman" w:cs="Times New Roman"/>
          <w:bCs/>
          <w:sz w:val="24"/>
          <w:szCs w:val="24"/>
          <w:lang w:eastAsia="ru-RU"/>
        </w:rPr>
        <w:t xml:space="preserve">, выявил,  что у системы отсутствует отказоустойчивость, что в свою очередь приводит к высоким рискам срыва производственного процесса </w:t>
      </w:r>
    </w:p>
    <w:p w:rsidR="00710B35" w:rsidRPr="00247DCB" w:rsidRDefault="009700A6" w:rsidP="009700A6">
      <w:pPr>
        <w:pStyle w:val="a3"/>
        <w:spacing w:after="0" w:line="360" w:lineRule="auto"/>
        <w:ind w:left="0" w:firstLine="360"/>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Кроме того, работоспособность системы</w:t>
      </w:r>
      <w:r w:rsidR="00710B35" w:rsidRPr="00247DCB">
        <w:rPr>
          <w:rFonts w:ascii="Times New Roman" w:eastAsia="Times New Roman" w:hAnsi="Times New Roman" w:cs="Times New Roman"/>
          <w:bCs/>
          <w:sz w:val="24"/>
          <w:szCs w:val="24"/>
          <w:lang w:eastAsia="ru-RU"/>
        </w:rPr>
        <w:t xml:space="preserve"> обеспечивается базой данных </w:t>
      </w:r>
      <w:proofErr w:type="spellStart"/>
      <w:r w:rsidR="00710B35" w:rsidRPr="00247DCB">
        <w:rPr>
          <w:rFonts w:ascii="Times New Roman" w:eastAsia="Times New Roman" w:hAnsi="Times New Roman" w:cs="Times New Roman"/>
          <w:bCs/>
          <w:sz w:val="24"/>
          <w:szCs w:val="24"/>
          <w:lang w:eastAsia="ru-RU"/>
        </w:rPr>
        <w:t>Microsoft</w:t>
      </w:r>
      <w:proofErr w:type="spellEnd"/>
      <w:r w:rsidR="00710B35" w:rsidRPr="00247DCB">
        <w:rPr>
          <w:rFonts w:ascii="Times New Roman" w:eastAsia="Times New Roman" w:hAnsi="Times New Roman" w:cs="Times New Roman"/>
          <w:bCs/>
          <w:sz w:val="24"/>
          <w:szCs w:val="24"/>
          <w:lang w:eastAsia="ru-RU"/>
        </w:rPr>
        <w:t xml:space="preserve"> SQL </w:t>
      </w:r>
      <w:proofErr w:type="spellStart"/>
      <w:r w:rsidR="00710B35" w:rsidRPr="00247DCB">
        <w:rPr>
          <w:rFonts w:ascii="Times New Roman" w:eastAsia="Times New Roman" w:hAnsi="Times New Roman" w:cs="Times New Roman"/>
          <w:bCs/>
          <w:sz w:val="24"/>
          <w:szCs w:val="24"/>
          <w:lang w:eastAsia="ru-RU"/>
        </w:rPr>
        <w:t>Server</w:t>
      </w:r>
      <w:proofErr w:type="spellEnd"/>
      <w:r w:rsidR="00710B35" w:rsidRPr="00247DCB">
        <w:rPr>
          <w:rFonts w:ascii="Times New Roman" w:eastAsia="Times New Roman" w:hAnsi="Times New Roman" w:cs="Times New Roman"/>
          <w:bCs/>
          <w:sz w:val="24"/>
          <w:szCs w:val="24"/>
          <w:lang w:eastAsia="ru-RU"/>
        </w:rPr>
        <w:t xml:space="preserve">. </w:t>
      </w:r>
      <w:r w:rsidR="00E80CE5">
        <w:rPr>
          <w:rFonts w:ascii="Times New Roman" w:eastAsia="Times New Roman" w:hAnsi="Times New Roman" w:cs="Times New Roman"/>
          <w:bCs/>
          <w:sz w:val="24"/>
          <w:szCs w:val="24"/>
          <w:lang w:eastAsia="ru-RU"/>
        </w:rPr>
        <w:t xml:space="preserve">В </w:t>
      </w:r>
      <w:r w:rsidR="00710B35" w:rsidRPr="00247DCB">
        <w:rPr>
          <w:rFonts w:ascii="Times New Roman" w:eastAsia="Times New Roman" w:hAnsi="Times New Roman" w:cs="Times New Roman"/>
          <w:bCs/>
          <w:sz w:val="24"/>
          <w:szCs w:val="24"/>
          <w:lang w:eastAsia="ru-RU"/>
        </w:rPr>
        <w:t xml:space="preserve">2017 году ПАО «Челябэнергосбыт» </w:t>
      </w:r>
      <w:r w:rsidR="00710B35" w:rsidRPr="00964FC6">
        <w:rPr>
          <w:rFonts w:ascii="Times New Roman" w:eastAsia="Times New Roman" w:hAnsi="Times New Roman" w:cs="Times New Roman"/>
          <w:bCs/>
          <w:sz w:val="24"/>
          <w:szCs w:val="24"/>
          <w:lang w:eastAsia="ru-RU"/>
        </w:rPr>
        <w:t xml:space="preserve">обязано </w:t>
      </w:r>
      <w:r w:rsidRPr="00964FC6">
        <w:rPr>
          <w:rFonts w:ascii="Times New Roman" w:eastAsia="Times New Roman" w:hAnsi="Times New Roman" w:cs="Times New Roman"/>
          <w:bCs/>
          <w:sz w:val="24"/>
          <w:szCs w:val="24"/>
          <w:lang w:eastAsia="ru-RU"/>
        </w:rPr>
        <w:t xml:space="preserve">продлить </w:t>
      </w:r>
      <w:r w:rsidR="00710B35" w:rsidRPr="00964FC6">
        <w:rPr>
          <w:rFonts w:ascii="Times New Roman" w:eastAsia="Times New Roman" w:hAnsi="Times New Roman" w:cs="Times New Roman"/>
          <w:bCs/>
          <w:sz w:val="24"/>
          <w:szCs w:val="24"/>
          <w:lang w:eastAsia="ru-RU"/>
        </w:rPr>
        <w:t xml:space="preserve"> лицензии на использование ОС и СУБД </w:t>
      </w:r>
      <w:proofErr w:type="spellStart"/>
      <w:r w:rsidR="00710B35" w:rsidRPr="00964FC6">
        <w:rPr>
          <w:rFonts w:ascii="Times New Roman" w:eastAsia="Times New Roman" w:hAnsi="Times New Roman" w:cs="Times New Roman"/>
          <w:bCs/>
          <w:sz w:val="24"/>
          <w:szCs w:val="24"/>
          <w:lang w:eastAsia="ru-RU"/>
        </w:rPr>
        <w:t>Microsoft</w:t>
      </w:r>
      <w:proofErr w:type="spellEnd"/>
      <w:r w:rsidR="00964FC6">
        <w:rPr>
          <w:rFonts w:ascii="Times New Roman" w:eastAsia="Times New Roman" w:hAnsi="Times New Roman" w:cs="Times New Roman"/>
          <w:bCs/>
          <w:sz w:val="24"/>
          <w:szCs w:val="24"/>
          <w:lang w:eastAsia="ru-RU"/>
        </w:rPr>
        <w:t>. У Общества отсутствуют права на использование данных программных средств в 2017 году.</w:t>
      </w:r>
    </w:p>
    <w:p w:rsidR="00A62357"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случае</w:t>
      </w:r>
      <w:proofErr w:type="gramStart"/>
      <w:r w:rsidRPr="00247DCB">
        <w:rPr>
          <w:rFonts w:ascii="Times New Roman" w:eastAsia="Times New Roman" w:hAnsi="Times New Roman" w:cs="Times New Roman"/>
          <w:bCs/>
          <w:sz w:val="24"/>
          <w:szCs w:val="24"/>
          <w:lang w:eastAsia="ru-RU"/>
        </w:rPr>
        <w:t>,</w:t>
      </w:r>
      <w:proofErr w:type="gramEnd"/>
      <w:r w:rsidRPr="00247DCB">
        <w:rPr>
          <w:rFonts w:ascii="Times New Roman" w:eastAsia="Times New Roman" w:hAnsi="Times New Roman" w:cs="Times New Roman"/>
          <w:bCs/>
          <w:sz w:val="24"/>
          <w:szCs w:val="24"/>
          <w:lang w:eastAsia="ru-RU"/>
        </w:rPr>
        <w:t xml:space="preserve"> если данные недочеты не будут устранены, Общество не сможет пройти освидетельствование, что в несёт в себе следующие риски:</w:t>
      </w:r>
    </w:p>
    <w:p w:rsidR="009B225A"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1) </w:t>
      </w:r>
      <w:r w:rsidR="009B225A" w:rsidRPr="00247DCB">
        <w:rPr>
          <w:rFonts w:ascii="Times New Roman" w:eastAsia="Times New Roman" w:hAnsi="Times New Roman" w:cs="Times New Roman"/>
          <w:bCs/>
          <w:sz w:val="24"/>
          <w:szCs w:val="24"/>
          <w:lang w:eastAsia="ru-RU"/>
        </w:rPr>
        <w:t>Внешние риски:</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Отсутствие </w:t>
      </w:r>
      <w:proofErr w:type="gramStart"/>
      <w:r w:rsidRPr="00247DCB">
        <w:rPr>
          <w:rFonts w:ascii="Times New Roman" w:eastAsia="Times New Roman" w:hAnsi="Times New Roman" w:cs="Times New Roman"/>
          <w:bCs/>
          <w:sz w:val="24"/>
          <w:szCs w:val="24"/>
          <w:lang w:eastAsia="ru-RU"/>
        </w:rPr>
        <w:t>возможности передачи результатов измерения величин</w:t>
      </w:r>
      <w:proofErr w:type="gramEnd"/>
      <w:r w:rsidRPr="00247DCB">
        <w:rPr>
          <w:rFonts w:ascii="Times New Roman" w:eastAsia="Times New Roman" w:hAnsi="Times New Roman" w:cs="Times New Roman"/>
          <w:bCs/>
          <w:sz w:val="24"/>
          <w:szCs w:val="24"/>
          <w:lang w:eastAsia="ru-RU"/>
        </w:rPr>
        <w:t xml:space="preserve"> электроэнергии (макеты 80020, 80040) (замещающая информация об объемах потребления с разбивкой по полчаса месячные) в ОАО «АТС» в установленные сроки. Непредставление данных макетов является грубым нарушением Правил оптового рынка, согласно п. 5.1 Приложение № 1.1 к Договору о присоединении к торговой системе оптового рынка и ст. 38.1 Приложения № 21 к Договору о присоединении к торговой системе оптового рынка, что влечёт за собой возможность лишения ПАО «Челябэнергосбыт» статуса субъекта оптового рынка.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 Отсутствие </w:t>
      </w:r>
      <w:proofErr w:type="gramStart"/>
      <w:r w:rsidRPr="00247DCB">
        <w:rPr>
          <w:rFonts w:ascii="Times New Roman" w:eastAsia="Times New Roman" w:hAnsi="Times New Roman" w:cs="Times New Roman"/>
          <w:bCs/>
          <w:sz w:val="24"/>
          <w:szCs w:val="24"/>
          <w:lang w:eastAsia="ru-RU"/>
        </w:rPr>
        <w:t>возможности передачи результатов измерения величин</w:t>
      </w:r>
      <w:proofErr w:type="gramEnd"/>
      <w:r w:rsidRPr="00247DCB">
        <w:rPr>
          <w:rFonts w:ascii="Times New Roman" w:eastAsia="Times New Roman" w:hAnsi="Times New Roman" w:cs="Times New Roman"/>
          <w:bCs/>
          <w:sz w:val="24"/>
          <w:szCs w:val="24"/>
          <w:lang w:eastAsia="ru-RU"/>
        </w:rPr>
        <w:t xml:space="preserve"> электроэнергии (макеты 80020, 80040) смежным субъектам ОРЭ. Вследствие чего, жалобы смежных субъектов на ПАО «Челябэнергосбыт» в ПАО «АТС», что служит поводом НП «Совет Рынка» инициировать проверку работоспособности АИИСКУЭ ПАО «Челябэнергосбыт».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 Отсутствие БД в период проведения испытаний на установление соответствия требованиям оптового рынка ведет к невозможности получения акта соответствия, что влечет за собой применение штрафных санкций до 4,5 млн.</w:t>
      </w:r>
      <w:r w:rsidR="005104BC"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руб. и лишению статуса субъекта оптового рынка (Положение о применении санкций на оптовом рынке электрической энергии и мощности.</w:t>
      </w:r>
      <w:proofErr w:type="gramEnd"/>
      <w:r w:rsidRPr="00247DCB">
        <w:rPr>
          <w:rFonts w:ascii="Times New Roman" w:eastAsia="Times New Roman" w:hAnsi="Times New Roman" w:cs="Times New Roman"/>
          <w:bCs/>
          <w:sz w:val="24"/>
          <w:szCs w:val="24"/>
          <w:lang w:eastAsia="ru-RU"/>
        </w:rPr>
        <w:t xml:space="preserve"> Приложение 21 к </w:t>
      </w:r>
      <w:proofErr w:type="gramStart"/>
      <w:r w:rsidRPr="00247DCB">
        <w:rPr>
          <w:rFonts w:ascii="Times New Roman" w:eastAsia="Times New Roman" w:hAnsi="Times New Roman" w:cs="Times New Roman"/>
          <w:bCs/>
          <w:sz w:val="24"/>
          <w:szCs w:val="24"/>
          <w:lang w:eastAsia="ru-RU"/>
        </w:rPr>
        <w:t>ДОП</w:t>
      </w:r>
      <w:proofErr w:type="gramEnd"/>
      <w:r w:rsidRPr="00247DCB">
        <w:rPr>
          <w:rFonts w:ascii="Times New Roman" w:eastAsia="Times New Roman" w:hAnsi="Times New Roman" w:cs="Times New Roman"/>
          <w:bCs/>
          <w:sz w:val="24"/>
          <w:szCs w:val="24"/>
          <w:lang w:eastAsia="ru-RU"/>
        </w:rPr>
        <w:t>). В настоящее время у ПАО «Челябэнергосбыт» отсутствуют Акты соответствия по 8-ми из 54-х сечений оптового рынка.</w:t>
      </w:r>
    </w:p>
    <w:p w:rsidR="009B225A"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2) </w:t>
      </w:r>
      <w:r w:rsidR="009B225A" w:rsidRPr="00247DCB">
        <w:rPr>
          <w:rFonts w:ascii="Times New Roman" w:eastAsia="Times New Roman" w:hAnsi="Times New Roman" w:cs="Times New Roman"/>
          <w:bCs/>
          <w:sz w:val="24"/>
          <w:szCs w:val="24"/>
          <w:lang w:eastAsia="ru-RU"/>
        </w:rPr>
        <w:t xml:space="preserve">Внутренние риски: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Отсутствие возможности формировать оперативный факт потребления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ПАО «Челябэнергосбыт», что снижает управляемость предприятия и снижает оперативность решений.</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Снижение точности в прогнозировании планового почасового потребления, что ведёт к увеличению затрат на покупку э/э на ОРЭМ.</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Отсутствие возможности верификации данных присылаемых смежными субъектами в макетах 51070 при согласовании сальдо-</w:t>
      </w:r>
      <w:proofErr w:type="spellStart"/>
      <w:r w:rsidRPr="00247DCB">
        <w:rPr>
          <w:rFonts w:ascii="Times New Roman" w:eastAsia="Times New Roman" w:hAnsi="Times New Roman" w:cs="Times New Roman"/>
          <w:bCs/>
          <w:sz w:val="24"/>
          <w:szCs w:val="24"/>
          <w:lang w:eastAsia="ru-RU"/>
        </w:rPr>
        <w:t>перетоков</w:t>
      </w:r>
      <w:proofErr w:type="spellEnd"/>
      <w:r w:rsidRPr="00247DCB">
        <w:rPr>
          <w:rFonts w:ascii="Times New Roman" w:eastAsia="Times New Roman" w:hAnsi="Times New Roman" w:cs="Times New Roman"/>
          <w:bCs/>
          <w:sz w:val="24"/>
          <w:szCs w:val="24"/>
          <w:lang w:eastAsia="ru-RU"/>
        </w:rPr>
        <w:t xml:space="preserve">.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Отсутствие возможности формировать сальдо-</w:t>
      </w:r>
      <w:proofErr w:type="spellStart"/>
      <w:r w:rsidRPr="00247DCB">
        <w:rPr>
          <w:rFonts w:ascii="Times New Roman" w:eastAsia="Times New Roman" w:hAnsi="Times New Roman" w:cs="Times New Roman"/>
          <w:bCs/>
          <w:sz w:val="24"/>
          <w:szCs w:val="24"/>
          <w:lang w:eastAsia="ru-RU"/>
        </w:rPr>
        <w:t>переток</w:t>
      </w:r>
      <w:proofErr w:type="spellEnd"/>
      <w:r w:rsidRPr="00247DCB">
        <w:rPr>
          <w:rFonts w:ascii="Times New Roman" w:eastAsia="Times New Roman" w:hAnsi="Times New Roman" w:cs="Times New Roman"/>
          <w:bCs/>
          <w:sz w:val="24"/>
          <w:szCs w:val="24"/>
          <w:lang w:eastAsia="ru-RU"/>
        </w:rPr>
        <w:t xml:space="preserve"> в макете 51070 в сечениях, в которых ПАО «Челябэнергосбыт» является субъектом №1, что влечёт за собой расчёт объёмов покупки Общества по замещающей информации и приводит к росту затрат на покупку не компенсируемых со стороны потребителей.</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Повысить отказоустойчивость системы возможно путём внедрения технологии «виртуализации», для чего необходимо приобретение лицензий на систему создания  «виртуальных» сред </w:t>
      </w:r>
      <w:proofErr w:type="spellStart"/>
      <w:r w:rsidRPr="00247DCB">
        <w:rPr>
          <w:rFonts w:ascii="Times New Roman" w:eastAsia="Times New Roman" w:hAnsi="Times New Roman" w:cs="Times New Roman"/>
          <w:bCs/>
          <w:sz w:val="24"/>
          <w:szCs w:val="24"/>
          <w:lang w:eastAsia="ru-RU"/>
        </w:rPr>
        <w:t>VMwarevSphere</w:t>
      </w:r>
      <w:proofErr w:type="spellEnd"/>
      <w:r w:rsidRPr="00247DCB">
        <w:rPr>
          <w:rFonts w:ascii="Times New Roman" w:eastAsia="Times New Roman" w:hAnsi="Times New Roman" w:cs="Times New Roman"/>
          <w:bCs/>
          <w:sz w:val="24"/>
          <w:szCs w:val="24"/>
          <w:lang w:eastAsia="ru-RU"/>
        </w:rPr>
        <w:t xml:space="preserve"> 6 </w:t>
      </w:r>
      <w:proofErr w:type="spellStart"/>
      <w:r w:rsidRPr="00247DCB">
        <w:rPr>
          <w:rFonts w:ascii="Times New Roman" w:eastAsia="Times New Roman" w:hAnsi="Times New Roman" w:cs="Times New Roman"/>
          <w:bCs/>
          <w:sz w:val="24"/>
          <w:szCs w:val="24"/>
          <w:lang w:eastAsia="ru-RU"/>
        </w:rPr>
        <w:t>Enterprise</w:t>
      </w:r>
      <w:proofErr w:type="spellEnd"/>
      <w:r w:rsidRPr="00247DCB">
        <w:rPr>
          <w:rFonts w:ascii="Times New Roman" w:eastAsia="Times New Roman" w:hAnsi="Times New Roman" w:cs="Times New Roman"/>
          <w:bCs/>
          <w:sz w:val="24"/>
          <w:szCs w:val="24"/>
          <w:lang w:eastAsia="ru-RU"/>
        </w:rPr>
        <w:t>.</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Необходимость установления лицензионного программного обеспечения, в частности лицензии на использование ОС и СУБД </w:t>
      </w:r>
      <w:proofErr w:type="spellStart"/>
      <w:r w:rsidRPr="00247DCB">
        <w:rPr>
          <w:rFonts w:ascii="Times New Roman" w:eastAsia="Times New Roman" w:hAnsi="Times New Roman" w:cs="Times New Roman"/>
          <w:bCs/>
          <w:sz w:val="24"/>
          <w:szCs w:val="24"/>
          <w:lang w:eastAsia="ru-RU"/>
        </w:rPr>
        <w:t>Microsoft</w:t>
      </w:r>
      <w:proofErr w:type="spellEnd"/>
      <w:r w:rsidRPr="00247DCB">
        <w:rPr>
          <w:rFonts w:ascii="Times New Roman" w:eastAsia="Times New Roman" w:hAnsi="Times New Roman" w:cs="Times New Roman"/>
          <w:bCs/>
          <w:sz w:val="24"/>
          <w:szCs w:val="24"/>
          <w:lang w:eastAsia="ru-RU"/>
        </w:rPr>
        <w:t xml:space="preserve"> определяется нормами действующего законодательства.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Так, статьи 1225 и 1301 ГК предусматривают уплату штрафа в пользу правообладателя компенсации до 5 млн. рублей, либо взыскание двукратной стоимости права использования программного продукта.</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Статья 7.12 КоАП содержит ответственность за нарушение авторских прав в виде штрафа. Названная статья также предусматривает конфискацию материалов и </w:t>
      </w:r>
      <w:r w:rsidRPr="00247DCB">
        <w:rPr>
          <w:rFonts w:ascii="Times New Roman" w:eastAsia="Times New Roman" w:hAnsi="Times New Roman" w:cs="Times New Roman"/>
          <w:bCs/>
          <w:sz w:val="24"/>
          <w:szCs w:val="24"/>
          <w:lang w:eastAsia="ru-RU"/>
        </w:rPr>
        <w:lastRenderedPageBreak/>
        <w:t xml:space="preserve">оборудования. В данном случае возникают риски потери информации, содержащейся на изъятом оборудовании, а также к остановке рабочего процесса всего предприятия.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Статья 146 УК части 2 и 3 за незаконное использование объектов авторского права устанавливают меры ответственности в виде штрафа, либо исправительных работ, либо принудительных работ, либо лишения свободы.</w:t>
      </w:r>
    </w:p>
    <w:p w:rsidR="00F34B9C" w:rsidRPr="00247DCB" w:rsidRDefault="00F34B9C" w:rsidP="00C4779E">
      <w:pPr>
        <w:spacing w:after="0" w:line="360" w:lineRule="auto"/>
        <w:ind w:firstLine="360"/>
        <w:contextualSpacing/>
        <w:jc w:val="both"/>
        <w:rPr>
          <w:rFonts w:ascii="Times New Roman" w:eastAsia="Times New Roman" w:hAnsi="Times New Roman" w:cs="Times New Roman"/>
          <w:bCs/>
          <w:sz w:val="24"/>
          <w:szCs w:val="24"/>
          <w:lang w:eastAsia="ru-RU"/>
        </w:rPr>
      </w:pPr>
    </w:p>
    <w:tbl>
      <w:tblPr>
        <w:tblStyle w:val="ac"/>
        <w:tblW w:w="9571" w:type="dxa"/>
        <w:tblLook w:val="04A0" w:firstRow="1" w:lastRow="0" w:firstColumn="1" w:lastColumn="0" w:noHBand="0" w:noVBand="1"/>
      </w:tblPr>
      <w:tblGrid>
        <w:gridCol w:w="3720"/>
        <w:gridCol w:w="982"/>
        <w:gridCol w:w="979"/>
        <w:gridCol w:w="979"/>
        <w:gridCol w:w="979"/>
        <w:gridCol w:w="966"/>
        <w:gridCol w:w="966"/>
      </w:tblGrid>
      <w:tr w:rsidR="008D55CD" w:rsidRPr="00247DCB" w:rsidTr="00A83759">
        <w:tc>
          <w:tcPr>
            <w:tcW w:w="3720" w:type="dxa"/>
          </w:tcPr>
          <w:p w:rsidR="008D55CD" w:rsidRPr="00247DCB" w:rsidRDefault="008D55CD"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r>
      <w:tr w:rsidR="008D55CD" w:rsidRPr="00247DCB" w:rsidTr="00A83759">
        <w:tc>
          <w:tcPr>
            <w:tcW w:w="3720" w:type="dxa"/>
          </w:tcPr>
          <w:p w:rsidR="008D55CD" w:rsidRPr="00247DCB" w:rsidRDefault="008D55CD" w:rsidP="00A83759">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11 976</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11 580</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99</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99</w:t>
            </w: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99</w:t>
            </w: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99</w:t>
            </w:r>
          </w:p>
        </w:tc>
      </w:tr>
      <w:tr w:rsidR="008D55CD" w:rsidRPr="00247DCB" w:rsidTr="00A83759">
        <w:tc>
          <w:tcPr>
            <w:tcW w:w="3720" w:type="dxa"/>
          </w:tcPr>
          <w:p w:rsidR="008D55CD" w:rsidRPr="00247DCB" w:rsidRDefault="008D55CD"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11 481</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11 481</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p>
        </w:tc>
      </w:tr>
      <w:tr w:rsidR="008D55CD" w:rsidRPr="00247DCB" w:rsidTr="00A83759">
        <w:tc>
          <w:tcPr>
            <w:tcW w:w="3720" w:type="dxa"/>
          </w:tcPr>
          <w:p w:rsidR="008D55CD" w:rsidRPr="00247DCB" w:rsidRDefault="008D55CD"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495</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r>
    </w:tbl>
    <w:p w:rsidR="00183587" w:rsidRPr="00247DCB" w:rsidRDefault="00183587" w:rsidP="009700A6">
      <w:pPr>
        <w:pStyle w:val="a3"/>
        <w:spacing w:after="0" w:line="360" w:lineRule="auto"/>
        <w:ind w:left="360"/>
        <w:jc w:val="both"/>
        <w:rPr>
          <w:rFonts w:ascii="Times New Roman" w:eastAsia="Times New Roman" w:hAnsi="Times New Roman" w:cs="Times New Roman"/>
          <w:b/>
          <w:bCs/>
          <w:sz w:val="24"/>
          <w:szCs w:val="24"/>
          <w:lang w:eastAsia="ru-RU"/>
        </w:rPr>
      </w:pPr>
    </w:p>
    <w:p w:rsidR="000A63CA" w:rsidRPr="00247DCB" w:rsidRDefault="005104BC" w:rsidP="00C4779E">
      <w:pPr>
        <w:pStyle w:val="a3"/>
        <w:numPr>
          <w:ilvl w:val="0"/>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Приобретение оборудования, необходимого для обеспечения бесперебойного выполнения обязанностей </w:t>
      </w:r>
      <w:proofErr w:type="spellStart"/>
      <w:r w:rsidRPr="00247DCB">
        <w:rPr>
          <w:rFonts w:ascii="Times New Roman" w:eastAsia="Times New Roman" w:hAnsi="Times New Roman" w:cs="Times New Roman"/>
          <w:b/>
          <w:bCs/>
          <w:sz w:val="24"/>
          <w:szCs w:val="24"/>
          <w:lang w:eastAsia="ru-RU"/>
        </w:rPr>
        <w:t>энергосбытовой</w:t>
      </w:r>
      <w:proofErr w:type="spellEnd"/>
      <w:r w:rsidRPr="00247DCB">
        <w:rPr>
          <w:rFonts w:ascii="Times New Roman" w:eastAsia="Times New Roman" w:hAnsi="Times New Roman" w:cs="Times New Roman"/>
          <w:b/>
          <w:bCs/>
          <w:sz w:val="24"/>
          <w:szCs w:val="24"/>
          <w:lang w:eastAsia="ru-RU"/>
        </w:rPr>
        <w:t xml:space="preserve"> компании</w:t>
      </w:r>
    </w:p>
    <w:p w:rsidR="00482708" w:rsidRPr="00247DCB" w:rsidRDefault="00482708" w:rsidP="00C4779E">
      <w:pPr>
        <w:pStyle w:val="a3"/>
        <w:numPr>
          <w:ilvl w:val="1"/>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Модернизация сервиса электронной почты и продление корпоративного лицензионного соглашения с </w:t>
      </w:r>
      <w:proofErr w:type="spellStart"/>
      <w:r w:rsidRPr="00247DCB">
        <w:rPr>
          <w:rFonts w:ascii="Times New Roman" w:eastAsia="Times New Roman" w:hAnsi="Times New Roman" w:cs="Times New Roman"/>
          <w:b/>
          <w:bCs/>
          <w:sz w:val="24"/>
          <w:szCs w:val="24"/>
          <w:lang w:eastAsia="ru-RU"/>
        </w:rPr>
        <w:t>Microsoft</w:t>
      </w:r>
      <w:proofErr w:type="spellEnd"/>
    </w:p>
    <w:p w:rsidR="003B7BB5" w:rsidRPr="00247DCB" w:rsidRDefault="003B7BB5" w:rsidP="00FD7B97">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обновление сервера электронной почты для обеспечения бесперебойного функционирования Общества</w:t>
      </w:r>
    </w:p>
    <w:p w:rsidR="003B7BB5" w:rsidRPr="00247DCB" w:rsidRDefault="003B7BB5" w:rsidP="00FD7B97">
      <w:pPr>
        <w:spacing w:after="0" w:line="360" w:lineRule="auto"/>
        <w:ind w:firstLine="708"/>
        <w:jc w:val="both"/>
        <w:rPr>
          <w:rFonts w:ascii="Times New Roman" w:eastAsia="Times New Roman" w:hAnsi="Times New Roman" w:cs="Times New Roman"/>
          <w:bCs/>
          <w:sz w:val="24"/>
          <w:szCs w:val="24"/>
          <w:lang w:eastAsia="ru-RU"/>
        </w:rPr>
      </w:pPr>
    </w:p>
    <w:p w:rsidR="00482708" w:rsidRPr="00247DCB" w:rsidRDefault="00482708" w:rsidP="00C4779E">
      <w:pPr>
        <w:spacing w:after="0" w:line="360" w:lineRule="auto"/>
        <w:ind w:firstLine="708"/>
        <w:contextualSpacing/>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Cs/>
          <w:sz w:val="24"/>
          <w:szCs w:val="24"/>
          <w:lang w:eastAsia="ru-RU"/>
        </w:rPr>
        <w:t>Система почтового обмена на предприятии за период 2014-2015 гг. претерпела  76 сбоев, что привело к остановке  информационного обмена в общей сложности на 8 дней. Нарушение информационного обмена приводит, в том числе,  к следующим последствиям:</w:t>
      </w:r>
    </w:p>
    <w:p w:rsidR="00482708" w:rsidRPr="00247DCB" w:rsidRDefault="00B54CBF"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Остановка штатной работы расчётно-вычислительных комплексов</w:t>
      </w:r>
      <w:r w:rsidR="00482708" w:rsidRPr="00247DCB">
        <w:rPr>
          <w:rFonts w:ascii="Times New Roman" w:eastAsia="Times New Roman" w:hAnsi="Times New Roman" w:cs="Times New Roman"/>
          <w:bCs/>
          <w:sz w:val="24"/>
          <w:szCs w:val="24"/>
          <w:lang w:eastAsia="ru-RU"/>
        </w:rPr>
        <w:t>, так как связь комплекс</w:t>
      </w:r>
      <w:r w:rsidRPr="00247DCB">
        <w:rPr>
          <w:rFonts w:ascii="Times New Roman" w:eastAsia="Times New Roman" w:hAnsi="Times New Roman" w:cs="Times New Roman"/>
          <w:bCs/>
          <w:sz w:val="24"/>
          <w:szCs w:val="24"/>
          <w:lang w:eastAsia="ru-RU"/>
        </w:rPr>
        <w:t>ов</w:t>
      </w:r>
      <w:r w:rsidR="00482708" w:rsidRPr="00247DCB">
        <w:rPr>
          <w:rFonts w:ascii="Times New Roman" w:eastAsia="Times New Roman" w:hAnsi="Times New Roman" w:cs="Times New Roman"/>
          <w:bCs/>
          <w:sz w:val="24"/>
          <w:szCs w:val="24"/>
          <w:lang w:eastAsia="ru-RU"/>
        </w:rPr>
        <w:t xml:space="preserve"> осуществляет через почтовый сервер;</w:t>
      </w:r>
    </w:p>
    <w:p w:rsidR="00482708" w:rsidRPr="00247DCB" w:rsidRDefault="00482708"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Остановка АСКУЭ, так как получение и отправка показаний осуществляется через электронную почту;</w:t>
      </w:r>
    </w:p>
    <w:p w:rsidR="00482708" w:rsidRPr="00247DCB" w:rsidRDefault="00482708"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Остановка информационного обмена с НП АТС, так как согласно требованиям безопасности осуществляется привязка к фиксированным адресам. </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Нарушения в работе системы были устранены. Однако, с учётом морального и физического износа оборудования и программного обеспечения риск полной остановке системы в 2017-2018 гг. составляет 98%</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Используемое в системе оборудование было введено в эксплуатацию в 2008 году.</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Полезный срок использования объектов данной группы оборудования без утери функциональности составляет максимум  6 лет. Таким образом, замене подлежит 14 ед. оборудования. </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Оборудование должно отвечать следующим характеристика</w:t>
      </w:r>
      <w:proofErr w:type="gramStart"/>
      <w:r w:rsidRPr="00247DCB">
        <w:rPr>
          <w:rFonts w:ascii="Times New Roman" w:eastAsia="Times New Roman" w:hAnsi="Times New Roman" w:cs="Times New Roman"/>
          <w:bCs/>
          <w:sz w:val="24"/>
          <w:szCs w:val="24"/>
          <w:lang w:eastAsia="ru-RU"/>
        </w:rPr>
        <w:t>м-</w:t>
      </w:r>
      <w:proofErr w:type="gramEnd"/>
      <w:r w:rsidRPr="00247DCB">
        <w:rPr>
          <w:rFonts w:ascii="Times New Roman" w:eastAsia="Times New Roman" w:hAnsi="Times New Roman" w:cs="Times New Roman"/>
          <w:bCs/>
          <w:sz w:val="24"/>
          <w:szCs w:val="24"/>
          <w:lang w:eastAsia="ru-RU"/>
        </w:rPr>
        <w:t xml:space="preserve"> повышенная отказоустойчивость и производительность. Анализ рынка показал, что стоимость одной единицы, удовлетворяющей вышеуказанным характеристикам, 1 635 788 руб. с НДС. </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Вместе с заменой оборудования требует актуализации программное обеспечение, так как оно было введено в эксплуатацию в 2008 году, и далее версия не обновлялась. </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работы системы в стандартном режиме программное обеспечение должно отвечать следующим требованиям: наличие поддержки производителем. В противном случае не гарантирована его безопасность.</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Действующие программное обеспечение способно выполнять только следующие показатели: функционирование без внесений изменений в конфигурацию при условии отсутствия внешних воздействий или атак.</w:t>
      </w:r>
    </w:p>
    <w:p w:rsidR="00DF110C" w:rsidRPr="00247DCB" w:rsidRDefault="00DF110C" w:rsidP="00C4779E">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9558" w:type="dxa"/>
        <w:tblLook w:val="04A0" w:firstRow="1" w:lastRow="0" w:firstColumn="1" w:lastColumn="0" w:noHBand="0" w:noVBand="1"/>
      </w:tblPr>
      <w:tblGrid>
        <w:gridCol w:w="3720"/>
        <w:gridCol w:w="982"/>
        <w:gridCol w:w="979"/>
        <w:gridCol w:w="979"/>
        <w:gridCol w:w="966"/>
        <w:gridCol w:w="966"/>
        <w:gridCol w:w="966"/>
      </w:tblGrid>
      <w:tr w:rsidR="008D55CD" w:rsidRPr="00247DCB" w:rsidTr="008D55CD">
        <w:tc>
          <w:tcPr>
            <w:tcW w:w="3720" w:type="dxa"/>
          </w:tcPr>
          <w:p w:rsidR="008D55CD" w:rsidRPr="00247DCB" w:rsidRDefault="0021788B"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 </w:t>
            </w:r>
            <w:r w:rsidR="008D55CD"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c>
          <w:tcPr>
            <w:tcW w:w="966" w:type="dxa"/>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2022</w:t>
            </w:r>
          </w:p>
        </w:tc>
      </w:tr>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55 638</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41 150</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3 622</w:t>
            </w:r>
          </w:p>
        </w:tc>
      </w:tr>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32 721</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32 721</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p>
        </w:tc>
      </w:tr>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18 110</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r>
      <w:tr w:rsidR="00AF06B2" w:rsidRPr="00247DCB" w:rsidTr="008D55CD">
        <w:tc>
          <w:tcPr>
            <w:tcW w:w="3720" w:type="dxa"/>
          </w:tcPr>
          <w:p w:rsidR="00AF06B2" w:rsidRPr="00247DCB" w:rsidRDefault="00AF06B2" w:rsidP="00B743E4">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 по внедрению программного обеспечения</w:t>
            </w:r>
          </w:p>
        </w:tc>
        <w:tc>
          <w:tcPr>
            <w:tcW w:w="982"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4 807</w:t>
            </w:r>
          </w:p>
        </w:tc>
        <w:tc>
          <w:tcPr>
            <w:tcW w:w="979"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4 807</w:t>
            </w:r>
          </w:p>
        </w:tc>
        <w:tc>
          <w:tcPr>
            <w:tcW w:w="979"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5104BC" w:rsidRPr="00247DCB" w:rsidRDefault="005104BC" w:rsidP="00C4779E">
      <w:pPr>
        <w:pStyle w:val="a3"/>
        <w:numPr>
          <w:ilvl w:val="1"/>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Модернизация сети передачи данных с участками и филиалами</w:t>
      </w:r>
    </w:p>
    <w:p w:rsidR="003B7BB5" w:rsidRPr="00247DCB" w:rsidRDefault="003B7BB5" w:rsidP="00FD7B97">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ликвидация сбоев и  простоев в работе Общества за счёт обеспечения бесперебойной связи между филиалами и участками общества</w:t>
      </w:r>
    </w:p>
    <w:p w:rsidR="003B7BB5" w:rsidRPr="00247DCB" w:rsidRDefault="003B7BB5" w:rsidP="00B54CBF">
      <w:pPr>
        <w:spacing w:after="0" w:line="360" w:lineRule="auto"/>
        <w:jc w:val="both"/>
        <w:rPr>
          <w:rFonts w:ascii="Times New Roman" w:eastAsia="Times New Roman" w:hAnsi="Times New Roman" w:cs="Times New Roman"/>
          <w:bCs/>
          <w:sz w:val="24"/>
          <w:szCs w:val="24"/>
          <w:lang w:eastAsia="ru-RU"/>
        </w:rPr>
      </w:pPr>
    </w:p>
    <w:p w:rsidR="005104BC" w:rsidRPr="00247DCB" w:rsidRDefault="005104BC"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Корпоративная сеть передачи данных выполняет следующие функции: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создаёт инфраструктуру, позволяющую пользователю получать доступ к объектам коллективного пользования</w:t>
      </w:r>
      <w:r w:rsidR="00B54CBF"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 общим папкам на серверах, сервису электронной почты, сети интернет, серверам технологических задач (OEBS, CC&amp;B, управленческий учёт </w:t>
      </w:r>
      <w:proofErr w:type="spellStart"/>
      <w:r w:rsidRPr="00247DCB">
        <w:rPr>
          <w:rFonts w:ascii="Times New Roman" w:eastAsia="Times New Roman" w:hAnsi="Times New Roman" w:cs="Times New Roman"/>
          <w:bCs/>
          <w:sz w:val="24"/>
          <w:szCs w:val="24"/>
          <w:lang w:eastAsia="ru-RU"/>
        </w:rPr>
        <w:t>и.т.д</w:t>
      </w:r>
      <w:proofErr w:type="spellEnd"/>
      <w:r w:rsidRPr="00247DCB">
        <w:rPr>
          <w:rFonts w:ascii="Times New Roman" w:eastAsia="Times New Roman" w:hAnsi="Times New Roman" w:cs="Times New Roman"/>
          <w:bCs/>
          <w:sz w:val="24"/>
          <w:szCs w:val="24"/>
          <w:lang w:eastAsia="ru-RU"/>
        </w:rPr>
        <w:t>.)</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объединяет каналами передачи данных все подразделения предприятия</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даёт возможность доступа сотрудникам и приложениям к ресурсам сети интернет</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обеспечивает безопасность обмена данными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защищает от несанкционированного доступа к ресурсам</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На данный момент оборудование выработало свой ресурс, у Общества отсутствуют ЗИП, отсутствует контроль безопасности.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Система создавалась в 2006-2007 году.  </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lastRenderedPageBreak/>
        <w:t>Используемое в системе оборудование 2005-2006 года выпуска не является ремонтопригодным, так как комплектующие к нему сняты с производства компаниями-производителями.</w:t>
      </w:r>
      <w:proofErr w:type="gramEnd"/>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Cisco</w:t>
      </w:r>
      <w:proofErr w:type="spellEnd"/>
      <w:r w:rsidRPr="00247DCB">
        <w:rPr>
          <w:rFonts w:ascii="Times New Roman" w:eastAsia="Times New Roman" w:hAnsi="Times New Roman" w:cs="Times New Roman"/>
          <w:bCs/>
          <w:sz w:val="24"/>
          <w:szCs w:val="24"/>
          <w:lang w:eastAsia="ru-RU"/>
        </w:rPr>
        <w:t xml:space="preserve"> 1841 </w:t>
      </w:r>
      <w:proofErr w:type="spellStart"/>
      <w:r w:rsidRPr="00247DCB">
        <w:rPr>
          <w:rFonts w:ascii="Times New Roman" w:eastAsia="Times New Roman" w:hAnsi="Times New Roman" w:cs="Times New Roman"/>
          <w:bCs/>
          <w:sz w:val="24"/>
          <w:szCs w:val="24"/>
          <w:lang w:eastAsia="ru-RU"/>
        </w:rPr>
        <w:t>router</w:t>
      </w:r>
      <w:proofErr w:type="spellEnd"/>
      <w:r w:rsidRPr="00247DCB">
        <w:rPr>
          <w:rFonts w:ascii="Times New Roman" w:eastAsia="Times New Roman" w:hAnsi="Times New Roman" w:cs="Times New Roman"/>
          <w:bCs/>
          <w:sz w:val="24"/>
          <w:szCs w:val="24"/>
          <w:lang w:eastAsia="ru-RU"/>
        </w:rPr>
        <w:t xml:space="preserve">, </w:t>
      </w:r>
      <w:proofErr w:type="gramStart"/>
      <w:r w:rsidRPr="00247DCB">
        <w:rPr>
          <w:rFonts w:ascii="Times New Roman" w:eastAsia="Times New Roman" w:hAnsi="Times New Roman" w:cs="Times New Roman"/>
          <w:bCs/>
          <w:sz w:val="24"/>
          <w:szCs w:val="24"/>
          <w:lang w:eastAsia="ru-RU"/>
        </w:rPr>
        <w:t>введён</w:t>
      </w:r>
      <w:proofErr w:type="gramEnd"/>
      <w:r w:rsidRPr="00247DCB">
        <w:rPr>
          <w:rFonts w:ascii="Times New Roman" w:eastAsia="Times New Roman" w:hAnsi="Times New Roman" w:cs="Times New Roman"/>
          <w:bCs/>
          <w:sz w:val="24"/>
          <w:szCs w:val="24"/>
          <w:lang w:eastAsia="ru-RU"/>
        </w:rPr>
        <w:t xml:space="preserve"> в эксплуатацию в 2007 году</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Cisco</w:t>
      </w:r>
      <w:proofErr w:type="spellEnd"/>
      <w:r w:rsidRPr="00247DCB">
        <w:rPr>
          <w:rFonts w:ascii="Times New Roman" w:eastAsia="Times New Roman" w:hAnsi="Times New Roman" w:cs="Times New Roman"/>
          <w:bCs/>
          <w:sz w:val="24"/>
          <w:szCs w:val="24"/>
          <w:lang w:eastAsia="ru-RU"/>
        </w:rPr>
        <w:t xml:space="preserve"> 2800 </w:t>
      </w:r>
      <w:proofErr w:type="spellStart"/>
      <w:r w:rsidRPr="00247DCB">
        <w:rPr>
          <w:rFonts w:ascii="Times New Roman" w:eastAsia="Times New Roman" w:hAnsi="Times New Roman" w:cs="Times New Roman"/>
          <w:bCs/>
          <w:sz w:val="24"/>
          <w:szCs w:val="24"/>
          <w:lang w:eastAsia="ru-RU"/>
        </w:rPr>
        <w:t>router</w:t>
      </w:r>
      <w:proofErr w:type="spellEnd"/>
      <w:r w:rsidRPr="00247DCB">
        <w:rPr>
          <w:rFonts w:ascii="Times New Roman" w:eastAsia="Times New Roman" w:hAnsi="Times New Roman" w:cs="Times New Roman"/>
          <w:bCs/>
          <w:sz w:val="24"/>
          <w:szCs w:val="24"/>
          <w:lang w:eastAsia="ru-RU"/>
        </w:rPr>
        <w:t xml:space="preserve">, </w:t>
      </w:r>
      <w:proofErr w:type="gramStart"/>
      <w:r w:rsidRPr="00247DCB">
        <w:rPr>
          <w:rFonts w:ascii="Times New Roman" w:eastAsia="Times New Roman" w:hAnsi="Times New Roman" w:cs="Times New Roman"/>
          <w:bCs/>
          <w:sz w:val="24"/>
          <w:szCs w:val="24"/>
          <w:lang w:eastAsia="ru-RU"/>
        </w:rPr>
        <w:t>введён</w:t>
      </w:r>
      <w:proofErr w:type="gramEnd"/>
      <w:r w:rsidRPr="00247DCB">
        <w:rPr>
          <w:rFonts w:ascii="Times New Roman" w:eastAsia="Times New Roman" w:hAnsi="Times New Roman" w:cs="Times New Roman"/>
          <w:bCs/>
          <w:sz w:val="24"/>
          <w:szCs w:val="24"/>
          <w:lang w:eastAsia="ru-RU"/>
        </w:rPr>
        <w:t xml:space="preserve"> в эксплуатацию в 2007 году</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Cisco</w:t>
      </w:r>
      <w:proofErr w:type="spellEnd"/>
      <w:r w:rsidRPr="00247DCB">
        <w:rPr>
          <w:rFonts w:ascii="Times New Roman" w:eastAsia="Times New Roman" w:hAnsi="Times New Roman" w:cs="Times New Roman"/>
          <w:bCs/>
          <w:sz w:val="24"/>
          <w:szCs w:val="24"/>
          <w:lang w:eastAsia="ru-RU"/>
        </w:rPr>
        <w:t xml:space="preserve"> 3600 </w:t>
      </w:r>
      <w:proofErr w:type="spellStart"/>
      <w:r w:rsidRPr="00247DCB">
        <w:rPr>
          <w:rFonts w:ascii="Times New Roman" w:eastAsia="Times New Roman" w:hAnsi="Times New Roman" w:cs="Times New Roman"/>
          <w:bCs/>
          <w:sz w:val="24"/>
          <w:szCs w:val="24"/>
          <w:lang w:eastAsia="ru-RU"/>
        </w:rPr>
        <w:t>router</w:t>
      </w:r>
      <w:proofErr w:type="spellEnd"/>
      <w:r w:rsidRPr="00247DCB">
        <w:rPr>
          <w:rFonts w:ascii="Times New Roman" w:eastAsia="Times New Roman" w:hAnsi="Times New Roman" w:cs="Times New Roman"/>
          <w:bCs/>
          <w:sz w:val="24"/>
          <w:szCs w:val="24"/>
          <w:lang w:eastAsia="ru-RU"/>
        </w:rPr>
        <w:t xml:space="preserve">, </w:t>
      </w:r>
      <w:proofErr w:type="gramStart"/>
      <w:r w:rsidRPr="00247DCB">
        <w:rPr>
          <w:rFonts w:ascii="Times New Roman" w:eastAsia="Times New Roman" w:hAnsi="Times New Roman" w:cs="Times New Roman"/>
          <w:bCs/>
          <w:sz w:val="24"/>
          <w:szCs w:val="24"/>
          <w:lang w:eastAsia="ru-RU"/>
        </w:rPr>
        <w:t>введён</w:t>
      </w:r>
      <w:proofErr w:type="gramEnd"/>
      <w:r w:rsidRPr="00247DCB">
        <w:rPr>
          <w:rFonts w:ascii="Times New Roman" w:eastAsia="Times New Roman" w:hAnsi="Times New Roman" w:cs="Times New Roman"/>
          <w:bCs/>
          <w:sz w:val="24"/>
          <w:szCs w:val="24"/>
          <w:lang w:eastAsia="ru-RU"/>
        </w:rPr>
        <w:t xml:space="preserve"> в эксплуатацию в 2007 году</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Cisco</w:t>
      </w:r>
      <w:proofErr w:type="spellEnd"/>
      <w:r w:rsidRPr="00247DCB">
        <w:rPr>
          <w:rFonts w:ascii="Times New Roman" w:eastAsia="Times New Roman" w:hAnsi="Times New Roman" w:cs="Times New Roman"/>
          <w:bCs/>
          <w:sz w:val="24"/>
          <w:szCs w:val="24"/>
          <w:lang w:eastAsia="ru-RU"/>
        </w:rPr>
        <w:t xml:space="preserve"> PIX 525, </w:t>
      </w:r>
      <w:proofErr w:type="gramStart"/>
      <w:r w:rsidRPr="00247DCB">
        <w:rPr>
          <w:rFonts w:ascii="Times New Roman" w:eastAsia="Times New Roman" w:hAnsi="Times New Roman" w:cs="Times New Roman"/>
          <w:bCs/>
          <w:sz w:val="24"/>
          <w:szCs w:val="24"/>
          <w:lang w:eastAsia="ru-RU"/>
        </w:rPr>
        <w:t>введён</w:t>
      </w:r>
      <w:proofErr w:type="gramEnd"/>
      <w:r w:rsidRPr="00247DCB">
        <w:rPr>
          <w:rFonts w:ascii="Times New Roman" w:eastAsia="Times New Roman" w:hAnsi="Times New Roman" w:cs="Times New Roman"/>
          <w:bCs/>
          <w:sz w:val="24"/>
          <w:szCs w:val="24"/>
          <w:lang w:eastAsia="ru-RU"/>
        </w:rPr>
        <w:t xml:space="preserve"> в эксплуатацию в 2007 году</w:t>
      </w:r>
    </w:p>
    <w:p w:rsidR="00A513FB" w:rsidRPr="00247DCB" w:rsidRDefault="003B7BB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На момент создания а</w:t>
      </w:r>
      <w:r w:rsidR="005104BC" w:rsidRPr="00247DCB">
        <w:rPr>
          <w:rFonts w:ascii="Times New Roman" w:eastAsia="Times New Roman" w:hAnsi="Times New Roman" w:cs="Times New Roman"/>
          <w:bCs/>
          <w:sz w:val="24"/>
          <w:szCs w:val="24"/>
          <w:lang w:eastAsia="ru-RU"/>
        </w:rPr>
        <w:t>рхитектура сети проектировалась исходя из сп</w:t>
      </w:r>
      <w:r w:rsidR="0015347F" w:rsidRPr="00247DCB">
        <w:rPr>
          <w:rFonts w:ascii="Times New Roman" w:eastAsia="Times New Roman" w:hAnsi="Times New Roman" w:cs="Times New Roman"/>
          <w:bCs/>
          <w:sz w:val="24"/>
          <w:szCs w:val="24"/>
          <w:lang w:eastAsia="ru-RU"/>
        </w:rPr>
        <w:t xml:space="preserve">ецифики технологических задач, </w:t>
      </w:r>
      <w:r w:rsidRPr="00247DCB">
        <w:rPr>
          <w:rFonts w:ascii="Times New Roman" w:eastAsia="Times New Roman" w:hAnsi="Times New Roman" w:cs="Times New Roman"/>
          <w:bCs/>
          <w:sz w:val="24"/>
          <w:szCs w:val="24"/>
          <w:lang w:eastAsia="ru-RU"/>
        </w:rPr>
        <w:t xml:space="preserve">работа в которых осуществлялась в то время. Все они основывались на </w:t>
      </w:r>
      <w:r w:rsidR="00482708" w:rsidRPr="00247DCB">
        <w:rPr>
          <w:rFonts w:ascii="Times New Roman" w:eastAsia="Times New Roman" w:hAnsi="Times New Roman" w:cs="Times New Roman"/>
          <w:bCs/>
          <w:sz w:val="24"/>
          <w:szCs w:val="24"/>
          <w:lang w:eastAsia="ru-RU"/>
        </w:rPr>
        <w:t xml:space="preserve"> </w:t>
      </w:r>
      <w:r w:rsidR="005104BC" w:rsidRPr="00247DCB">
        <w:rPr>
          <w:rFonts w:ascii="Times New Roman" w:eastAsia="Times New Roman" w:hAnsi="Times New Roman" w:cs="Times New Roman"/>
          <w:bCs/>
          <w:sz w:val="24"/>
          <w:szCs w:val="24"/>
          <w:lang w:eastAsia="ru-RU"/>
        </w:rPr>
        <w:t xml:space="preserve">децентрализованной </w:t>
      </w:r>
      <w:r w:rsidRPr="00247DCB">
        <w:rPr>
          <w:rFonts w:ascii="Times New Roman" w:eastAsia="Times New Roman" w:hAnsi="Times New Roman" w:cs="Times New Roman"/>
          <w:bCs/>
          <w:sz w:val="24"/>
          <w:szCs w:val="24"/>
          <w:lang w:eastAsia="ru-RU"/>
        </w:rPr>
        <w:t xml:space="preserve">модели </w:t>
      </w:r>
      <w:r w:rsidR="005104BC" w:rsidRPr="00247DCB">
        <w:rPr>
          <w:rFonts w:ascii="Times New Roman" w:eastAsia="Times New Roman" w:hAnsi="Times New Roman" w:cs="Times New Roman"/>
          <w:bCs/>
          <w:sz w:val="24"/>
          <w:szCs w:val="24"/>
          <w:lang w:eastAsia="ru-RU"/>
        </w:rPr>
        <w:t xml:space="preserve">обработки данных. </w:t>
      </w:r>
      <w:proofErr w:type="gramStart"/>
      <w:r w:rsidRPr="00247DCB">
        <w:rPr>
          <w:rFonts w:ascii="Times New Roman" w:eastAsia="Times New Roman" w:hAnsi="Times New Roman" w:cs="Times New Roman"/>
          <w:bCs/>
          <w:sz w:val="24"/>
          <w:szCs w:val="24"/>
          <w:lang w:eastAsia="ru-RU"/>
        </w:rPr>
        <w:t>На данный момент</w:t>
      </w:r>
      <w:r w:rsidR="0015347F" w:rsidRPr="00247DCB">
        <w:rPr>
          <w:rFonts w:ascii="Times New Roman" w:eastAsia="Times New Roman" w:hAnsi="Times New Roman" w:cs="Times New Roman"/>
          <w:bCs/>
          <w:sz w:val="24"/>
          <w:szCs w:val="24"/>
          <w:lang w:eastAsia="ru-RU"/>
        </w:rPr>
        <w:t xml:space="preserve"> требования</w:t>
      </w:r>
      <w:r w:rsidR="00A513FB" w:rsidRPr="00247DCB">
        <w:rPr>
          <w:rFonts w:ascii="Times New Roman" w:eastAsia="Times New Roman" w:hAnsi="Times New Roman" w:cs="Times New Roman"/>
          <w:bCs/>
          <w:sz w:val="24"/>
          <w:szCs w:val="24"/>
          <w:lang w:eastAsia="ru-RU"/>
        </w:rPr>
        <w:t>,</w:t>
      </w:r>
      <w:r w:rsidR="0015347F" w:rsidRPr="00247DCB">
        <w:rPr>
          <w:rFonts w:ascii="Times New Roman" w:eastAsia="Times New Roman" w:hAnsi="Times New Roman" w:cs="Times New Roman"/>
          <w:bCs/>
          <w:sz w:val="24"/>
          <w:szCs w:val="24"/>
          <w:lang w:eastAsia="ru-RU"/>
        </w:rPr>
        <w:t xml:space="preserve"> предъявляемые к технологическим задачам</w:t>
      </w:r>
      <w:r w:rsidR="00A513FB" w:rsidRPr="00247DCB">
        <w:rPr>
          <w:rFonts w:ascii="Times New Roman" w:eastAsia="Times New Roman" w:hAnsi="Times New Roman" w:cs="Times New Roman"/>
          <w:bCs/>
          <w:sz w:val="24"/>
          <w:szCs w:val="24"/>
          <w:lang w:eastAsia="ru-RU"/>
        </w:rPr>
        <w:t>,</w:t>
      </w:r>
      <w:r w:rsidR="0015347F" w:rsidRPr="00247DCB">
        <w:rPr>
          <w:rFonts w:ascii="Times New Roman" w:eastAsia="Times New Roman" w:hAnsi="Times New Roman" w:cs="Times New Roman"/>
          <w:bCs/>
          <w:sz w:val="24"/>
          <w:szCs w:val="24"/>
          <w:lang w:eastAsia="ru-RU"/>
        </w:rPr>
        <w:t xml:space="preserve"> не могут быть выполнены</w:t>
      </w:r>
      <w:r w:rsidR="00A513FB" w:rsidRPr="00247DCB">
        <w:rPr>
          <w:rFonts w:ascii="Times New Roman" w:eastAsia="Times New Roman" w:hAnsi="Times New Roman" w:cs="Times New Roman"/>
          <w:bCs/>
          <w:sz w:val="24"/>
          <w:szCs w:val="24"/>
          <w:lang w:eastAsia="ru-RU"/>
        </w:rPr>
        <w:t xml:space="preserve"> с использованием децентрализованной модели, поэтому </w:t>
      </w:r>
      <w:r w:rsidRPr="00247DCB">
        <w:rPr>
          <w:rFonts w:ascii="Times New Roman" w:eastAsia="Times New Roman" w:hAnsi="Times New Roman" w:cs="Times New Roman"/>
          <w:bCs/>
          <w:sz w:val="24"/>
          <w:szCs w:val="24"/>
          <w:lang w:eastAsia="ru-RU"/>
        </w:rPr>
        <w:t xml:space="preserve"> все технологические задачи Общества </w:t>
      </w:r>
      <w:r w:rsidR="005104BC" w:rsidRPr="00247DCB">
        <w:rPr>
          <w:rFonts w:ascii="Times New Roman" w:eastAsia="Times New Roman" w:hAnsi="Times New Roman" w:cs="Times New Roman"/>
          <w:bCs/>
          <w:sz w:val="24"/>
          <w:szCs w:val="24"/>
          <w:lang w:eastAsia="ru-RU"/>
        </w:rPr>
        <w:t>основаны на централизованной модели обработки данных, их ресурсы расположены в исполнительном аппарате</w:t>
      </w:r>
      <w:r w:rsidR="00A513FB" w:rsidRPr="00247DCB">
        <w:rPr>
          <w:rFonts w:ascii="Times New Roman" w:eastAsia="Times New Roman" w:hAnsi="Times New Roman" w:cs="Times New Roman"/>
          <w:bCs/>
          <w:sz w:val="24"/>
          <w:szCs w:val="24"/>
          <w:lang w:eastAsia="ru-RU"/>
        </w:rPr>
        <w:t xml:space="preserve"> (фактическое место расположение г. Челябинск, ул</w:t>
      </w:r>
      <w:r w:rsidR="005104BC" w:rsidRPr="00247DCB">
        <w:rPr>
          <w:rFonts w:ascii="Times New Roman" w:eastAsia="Times New Roman" w:hAnsi="Times New Roman" w:cs="Times New Roman"/>
          <w:bCs/>
          <w:sz w:val="24"/>
          <w:szCs w:val="24"/>
          <w:lang w:eastAsia="ru-RU"/>
        </w:rPr>
        <w:t>.</w:t>
      </w:r>
      <w:r w:rsidR="00A513FB" w:rsidRPr="00247DCB">
        <w:rPr>
          <w:rFonts w:ascii="Times New Roman" w:eastAsia="Times New Roman" w:hAnsi="Times New Roman" w:cs="Times New Roman"/>
          <w:bCs/>
          <w:sz w:val="24"/>
          <w:szCs w:val="24"/>
          <w:lang w:eastAsia="ru-RU"/>
        </w:rPr>
        <w:t xml:space="preserve"> Российская, 260).</w:t>
      </w:r>
      <w:proofErr w:type="gramEnd"/>
      <w:r w:rsidR="00A513FB" w:rsidRPr="00247DCB">
        <w:rPr>
          <w:rFonts w:ascii="Times New Roman" w:eastAsia="Times New Roman" w:hAnsi="Times New Roman" w:cs="Times New Roman"/>
          <w:bCs/>
          <w:sz w:val="24"/>
          <w:szCs w:val="24"/>
          <w:lang w:eastAsia="ru-RU"/>
        </w:rPr>
        <w:t xml:space="preserve"> </w:t>
      </w:r>
      <w:r w:rsidR="005104BC" w:rsidRPr="00247DCB">
        <w:rPr>
          <w:rFonts w:ascii="Times New Roman" w:eastAsia="Times New Roman" w:hAnsi="Times New Roman" w:cs="Times New Roman"/>
          <w:bCs/>
          <w:sz w:val="24"/>
          <w:szCs w:val="24"/>
          <w:lang w:eastAsia="ru-RU"/>
        </w:rPr>
        <w:t xml:space="preserve"> </w:t>
      </w:r>
      <w:r w:rsidR="00A513FB" w:rsidRPr="00247DCB">
        <w:rPr>
          <w:rFonts w:ascii="Times New Roman" w:eastAsia="Times New Roman" w:hAnsi="Times New Roman" w:cs="Times New Roman"/>
          <w:bCs/>
          <w:sz w:val="24"/>
          <w:szCs w:val="24"/>
          <w:lang w:eastAsia="ru-RU"/>
        </w:rPr>
        <w:t xml:space="preserve"> Это влечет за собой необходимость организации непрерывного доступа к ресурсам </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данного проекта будут осуществлены следующие мероприятия:</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приобретение  нового комплекта современного оборудования для организации каналов передачи данных с филиалами и участками;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создать ЗИП (комплект резервного оборудования и запасных частей);</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изменить топологию корпоративной сети с учётом требований нынешних технологических задач.</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В случае отказа от реализации данного проекта высока вероятность наступления в 2016 году следующих событий:</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доступа в интернет в филиале</w:t>
      </w:r>
      <w:r w:rsidR="00482708" w:rsidRPr="00247DCB">
        <w:rPr>
          <w:rFonts w:ascii="Times New Roman" w:eastAsia="Times New Roman" w:hAnsi="Times New Roman" w:cs="Times New Roman"/>
          <w:bCs/>
          <w:sz w:val="24"/>
          <w:szCs w:val="24"/>
          <w:lang w:eastAsia="ru-RU"/>
        </w:rPr>
        <w:t xml:space="preserve">, что делает невозможной работу </w:t>
      </w:r>
      <w:r w:rsidRPr="00247DCB">
        <w:rPr>
          <w:rFonts w:ascii="Times New Roman" w:eastAsia="Times New Roman" w:hAnsi="Times New Roman" w:cs="Times New Roman"/>
          <w:bCs/>
          <w:sz w:val="24"/>
          <w:szCs w:val="24"/>
          <w:lang w:eastAsia="ru-RU"/>
        </w:rPr>
        <w:t>электронной почты</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связи с исполнительным аппаратом в филиале делает невозможной работу всех технологических задач в филиале и его участках</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доступа в интернет в исполнительном аппарате  делает невозможной деятельность предприятия, так как останавливаются клиен</w:t>
      </w:r>
      <w:proofErr w:type="gramStart"/>
      <w:r w:rsidRPr="00247DCB">
        <w:rPr>
          <w:rFonts w:ascii="Times New Roman" w:eastAsia="Times New Roman" w:hAnsi="Times New Roman" w:cs="Times New Roman"/>
          <w:bCs/>
          <w:sz w:val="24"/>
          <w:szCs w:val="24"/>
          <w:lang w:eastAsia="ru-RU"/>
        </w:rPr>
        <w:t>т-</w:t>
      </w:r>
      <w:proofErr w:type="gramEnd"/>
      <w:r w:rsidRPr="00247DCB">
        <w:rPr>
          <w:rFonts w:ascii="Times New Roman" w:eastAsia="Times New Roman" w:hAnsi="Times New Roman" w:cs="Times New Roman"/>
          <w:bCs/>
          <w:sz w:val="24"/>
          <w:szCs w:val="24"/>
          <w:lang w:eastAsia="ru-RU"/>
        </w:rPr>
        <w:t xml:space="preserve"> банки, взаимодействие с НП АТС и работа системы АСКУЭ.</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связи с филиалами  делает невозможной работу всех технологических задач за пределами исполнительного аппарата.</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При наступлении любого из данных событий быстрая замена оборудования невозможна, что может повлечь за собой остановку деятельности предприятия.</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Для организации данной системы необходимо приобретения оборудованияCiscoASA5585 в количестве 2 единиц. </w:t>
      </w:r>
    </w:p>
    <w:tbl>
      <w:tblPr>
        <w:tblStyle w:val="ac"/>
        <w:tblW w:w="5681" w:type="dxa"/>
        <w:tblLook w:val="04A0" w:firstRow="1" w:lastRow="0" w:firstColumn="1" w:lastColumn="0" w:noHBand="0" w:noVBand="1"/>
      </w:tblPr>
      <w:tblGrid>
        <w:gridCol w:w="3720"/>
        <w:gridCol w:w="982"/>
        <w:gridCol w:w="979"/>
      </w:tblGrid>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21 941</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21 941</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21 941</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21 941</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06151D" w:rsidRPr="00247DCB" w:rsidRDefault="0006151D" w:rsidP="00C4779E">
      <w:pPr>
        <w:pStyle w:val="a3"/>
        <w:numPr>
          <w:ilvl w:val="1"/>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Повышение отказоустойчивости участков</w:t>
      </w:r>
    </w:p>
    <w:p w:rsidR="003B7BB5" w:rsidRPr="00247DCB" w:rsidRDefault="003B7BB5" w:rsidP="00F80BB0">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w:t>
      </w:r>
      <w:r w:rsidR="00AA74EE" w:rsidRPr="00247DCB">
        <w:rPr>
          <w:rFonts w:ascii="Times New Roman" w:eastAsia="Times New Roman" w:hAnsi="Times New Roman" w:cs="Times New Roman"/>
          <w:bCs/>
          <w:sz w:val="24"/>
          <w:szCs w:val="24"/>
          <w:lang w:eastAsia="ru-RU"/>
        </w:rPr>
        <w:t>Снижение рисков выхода из строя сетевого оборудования из-за неконтролируемых факторов</w:t>
      </w:r>
    </w:p>
    <w:p w:rsidR="00AA74EE" w:rsidRPr="00247DCB" w:rsidRDefault="00AA74E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Эксплуатация сетевого оборудования в удалённых от областного центра населённых пунктах имеет рад особенностей. Это связано с плохим качеством энергоснабжения, частыми авариями на сетях связи, другими воздействиями. Для поддержания постоянной работы удалённых офисов приходится заменять вышедшее из строя оборудование. Использование в работе оборудования начального уровня низкой стоимости влечёт за собой необходимость его частой замены. При этом оборудование такого класса не является ремонт пригодным. Необходимо использование для комплектования офисов участков и филиалов только оборудования промышленного класса с высокой отказоустойчивостью.</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 отказоустойчивость обеспечена на 10  участках из 60.</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Создание системы отказоустойчивости предполагает установку на участках комплекта из двух единиц взаимосвязанного оборудования:  коммутатора </w:t>
      </w:r>
      <w:proofErr w:type="spellStart"/>
      <w:r w:rsidRPr="00247DCB">
        <w:rPr>
          <w:rFonts w:ascii="Times New Roman" w:eastAsia="Times New Roman" w:hAnsi="Times New Roman" w:cs="Times New Roman"/>
          <w:bCs/>
          <w:sz w:val="24"/>
          <w:szCs w:val="24"/>
          <w:lang w:eastAsia="ru-RU"/>
        </w:rPr>
        <w:t>Cisco</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Catalyst</w:t>
      </w:r>
      <w:proofErr w:type="spellEnd"/>
      <w:r w:rsidRPr="00247DCB">
        <w:rPr>
          <w:rFonts w:ascii="Times New Roman" w:eastAsia="Times New Roman" w:hAnsi="Times New Roman" w:cs="Times New Roman"/>
          <w:bCs/>
          <w:sz w:val="24"/>
          <w:szCs w:val="24"/>
          <w:lang w:eastAsia="ru-RU"/>
        </w:rPr>
        <w:t xml:space="preserve"> 2960-X 48 и Источника бесперебойного питания с возможностью дистанционного мониторинга и управления. </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Источники бесперебойного питания - автоматические электронные устройства с аккумуляторной батареей, предназначенные для бесперебойного кратковременного снабжения электрической энергией компьютера и его компонентов с целью корректного завершения работы и сохранения данных в случае резкого падения или отсутствия входного питающего напряжения системы</w:t>
      </w:r>
    </w:p>
    <w:p w:rsidR="00AA74EE" w:rsidRPr="00247DCB" w:rsidRDefault="00AA74E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Отказ от реализации данного проекта влечёт за собой риск выхода из строя значительного количества оборудования из-за сбоев питания, летних гроз и других факторов. Так, за 2015 год из-за этого было утеряно 37 ед. оборудования</w:t>
      </w:r>
    </w:p>
    <w:p w:rsidR="00AA74EE" w:rsidRPr="00247DCB" w:rsidRDefault="00AA74EE" w:rsidP="00C4779E">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7639" w:type="dxa"/>
        <w:tblLook w:val="04A0" w:firstRow="1" w:lastRow="0" w:firstColumn="1" w:lastColumn="0" w:noHBand="0" w:noVBand="1"/>
      </w:tblPr>
      <w:tblGrid>
        <w:gridCol w:w="3720"/>
        <w:gridCol w:w="982"/>
        <w:gridCol w:w="979"/>
        <w:gridCol w:w="979"/>
        <w:gridCol w:w="979"/>
      </w:tblGrid>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6 155</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1 884</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1 884</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2 386</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6 155</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1 884</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1 884</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2 386</w:t>
            </w:r>
          </w:p>
        </w:tc>
      </w:tr>
    </w:tbl>
    <w:p w:rsidR="00483EFB" w:rsidRPr="00247DCB" w:rsidRDefault="00483EFB" w:rsidP="00C4779E">
      <w:pPr>
        <w:pStyle w:val="a3"/>
        <w:numPr>
          <w:ilvl w:val="1"/>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Приобретение серверов для замены вышедшего из строя оборудования</w:t>
      </w:r>
    </w:p>
    <w:p w:rsidR="00F80BB0" w:rsidRPr="00247DCB" w:rsidRDefault="002A11D9" w:rsidP="00A513FB">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восстановление утраченного парка оборудования для бесперебойной работы Общества</w:t>
      </w:r>
    </w:p>
    <w:p w:rsidR="00216EC1" w:rsidRPr="00247DCB" w:rsidRDefault="00216EC1" w:rsidP="00216EC1">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За 2014-2015 годы вышло из строя 5 серверов. </w:t>
      </w:r>
    </w:p>
    <w:p w:rsidR="00216EC1" w:rsidRPr="00247DCB" w:rsidRDefault="00216EC1"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 этом для нормального функционирования программных комплексов необходимо восполнение утраченного парка оборудования.  </w:t>
      </w:r>
    </w:p>
    <w:p w:rsidR="00483EFB" w:rsidRPr="00247DCB" w:rsidRDefault="00483EFB"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Отказ от реализации данной программы влечёт за собой риск потери данных и остановки производственного процесса.</w:t>
      </w:r>
    </w:p>
    <w:p w:rsidR="00483EFB" w:rsidRPr="00247DCB" w:rsidRDefault="00483EFB"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реализации данного проекта необходимо приобретения серверов IBM-</w:t>
      </w:r>
      <w:proofErr w:type="spellStart"/>
      <w:r w:rsidRPr="00247DCB">
        <w:rPr>
          <w:rFonts w:ascii="Times New Roman" w:eastAsia="Times New Roman" w:hAnsi="Times New Roman" w:cs="Times New Roman"/>
          <w:bCs/>
          <w:sz w:val="24"/>
          <w:szCs w:val="24"/>
          <w:lang w:eastAsia="ru-RU"/>
        </w:rPr>
        <w:t>Lenovo</w:t>
      </w:r>
      <w:proofErr w:type="spellEnd"/>
      <w:r w:rsidRPr="00247DCB">
        <w:rPr>
          <w:rFonts w:ascii="Times New Roman" w:eastAsia="Times New Roman" w:hAnsi="Times New Roman" w:cs="Times New Roman"/>
          <w:bCs/>
          <w:sz w:val="24"/>
          <w:szCs w:val="24"/>
          <w:lang w:eastAsia="ru-RU"/>
        </w:rPr>
        <w:t>, в количестве 2 единиц.</w:t>
      </w:r>
    </w:p>
    <w:p w:rsidR="00483EFB" w:rsidRPr="00247DCB" w:rsidRDefault="00483EFB" w:rsidP="00C4779E">
      <w:pPr>
        <w:spacing w:after="0" w:line="360" w:lineRule="auto"/>
        <w:ind w:firstLine="708"/>
        <w:jc w:val="both"/>
        <w:rPr>
          <w:rFonts w:ascii="Times New Roman" w:eastAsia="Times New Roman" w:hAnsi="Times New Roman" w:cs="Times New Roman"/>
          <w:bCs/>
          <w:sz w:val="24"/>
          <w:szCs w:val="24"/>
          <w:lang w:eastAsia="ru-RU"/>
        </w:rPr>
      </w:pPr>
    </w:p>
    <w:tbl>
      <w:tblPr>
        <w:tblStyle w:val="ac"/>
        <w:tblW w:w="5681" w:type="dxa"/>
        <w:tblLook w:val="04A0" w:firstRow="1" w:lastRow="0" w:firstColumn="1" w:lastColumn="0" w:noHBand="0" w:noVBand="1"/>
      </w:tblPr>
      <w:tblGrid>
        <w:gridCol w:w="3720"/>
        <w:gridCol w:w="982"/>
        <w:gridCol w:w="979"/>
      </w:tblGrid>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1 891</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1 891</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1 891</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1 891</w:t>
            </w:r>
          </w:p>
        </w:tc>
      </w:tr>
    </w:tbl>
    <w:p w:rsidR="00FC7EF7" w:rsidRPr="00247DCB" w:rsidRDefault="00FC7EF7" w:rsidP="00216EC1">
      <w:pPr>
        <w:pStyle w:val="a3"/>
        <w:spacing w:after="0" w:line="360" w:lineRule="auto"/>
        <w:ind w:left="1070"/>
        <w:jc w:val="both"/>
        <w:rPr>
          <w:rFonts w:ascii="Times New Roman" w:eastAsia="Times New Roman" w:hAnsi="Times New Roman" w:cs="Times New Roman"/>
          <w:b/>
          <w:bCs/>
          <w:sz w:val="24"/>
          <w:szCs w:val="24"/>
          <w:lang w:eastAsia="ru-RU"/>
        </w:rPr>
      </w:pPr>
    </w:p>
    <w:p w:rsidR="00E82005" w:rsidRPr="00247DCB" w:rsidRDefault="00E82005" w:rsidP="00C4779E">
      <w:pPr>
        <w:pStyle w:val="a3"/>
        <w:numPr>
          <w:ilvl w:val="1"/>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Обновление парка вычислительной техники взамен вышедшей из строя</w:t>
      </w:r>
    </w:p>
    <w:p w:rsidR="00216EC1" w:rsidRPr="00247DCB" w:rsidRDefault="00216EC1"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сохранение работоспособности парка вычислительной техники компании</w:t>
      </w:r>
    </w:p>
    <w:p w:rsidR="00216EC1" w:rsidRPr="00247DCB" w:rsidRDefault="00216EC1"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FC7EF7"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w:t>
      </w:r>
      <w:r w:rsidR="00FC7EF7" w:rsidRPr="00247DCB">
        <w:rPr>
          <w:rFonts w:ascii="Times New Roman" w:eastAsia="Times New Roman" w:hAnsi="Times New Roman" w:cs="Times New Roman"/>
          <w:bCs/>
          <w:sz w:val="24"/>
          <w:szCs w:val="24"/>
          <w:lang w:eastAsia="ru-RU"/>
        </w:rPr>
        <w:t>:</w:t>
      </w:r>
    </w:p>
    <w:p w:rsidR="00E82005" w:rsidRPr="00247DCB" w:rsidRDefault="00E82005" w:rsidP="00FC7EF7">
      <w:pPr>
        <w:pStyle w:val="a3"/>
        <w:numPr>
          <w:ilvl w:val="0"/>
          <w:numId w:val="11"/>
        </w:numPr>
        <w:spacing w:after="0" w:line="360" w:lineRule="auto"/>
        <w:ind w:left="567"/>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компьютерный парк ПАО «Челябэнергосбыт» составляет 1104 ед. персональных компьютеров. По срокам ввода в эксплуатацию разбивка следующая: </w:t>
      </w:r>
    </w:p>
    <w:tbl>
      <w:tblPr>
        <w:tblStyle w:val="ac"/>
        <w:tblW w:w="0" w:type="auto"/>
        <w:tblInd w:w="710" w:type="dxa"/>
        <w:tblLook w:val="04A0" w:firstRow="1" w:lastRow="0" w:firstColumn="1" w:lastColumn="0" w:noHBand="0" w:noVBand="1"/>
      </w:tblPr>
      <w:tblGrid>
        <w:gridCol w:w="816"/>
        <w:gridCol w:w="2126"/>
      </w:tblGrid>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Год</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Число компьютеров</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2006</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314</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2007</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49</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2008</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33</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2009</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71</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2010</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260</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2011</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67</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2012</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127</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2013</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108</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2014</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75</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2015</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0</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Итого</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1104</w:t>
            </w:r>
          </w:p>
        </w:tc>
      </w:tr>
    </w:tbl>
    <w:p w:rsidR="00FC7EF7" w:rsidRPr="00247DCB" w:rsidRDefault="00FC7EF7" w:rsidP="00FC7EF7">
      <w:pPr>
        <w:spacing w:after="0" w:line="360" w:lineRule="auto"/>
        <w:ind w:firstLine="708"/>
        <w:contextualSpacing/>
        <w:jc w:val="both"/>
        <w:rPr>
          <w:rFonts w:ascii="Times New Roman" w:eastAsia="Times New Roman" w:hAnsi="Times New Roman" w:cs="Times New Roman"/>
          <w:bCs/>
          <w:sz w:val="24"/>
          <w:szCs w:val="24"/>
          <w:lang w:eastAsia="ru-RU"/>
        </w:rPr>
      </w:pPr>
    </w:p>
    <w:p w:rsidR="00FC7EF7" w:rsidRPr="00247DCB" w:rsidRDefault="00FC7EF7" w:rsidP="00FC7EF7">
      <w:pPr>
        <w:pStyle w:val="a3"/>
        <w:numPr>
          <w:ilvl w:val="0"/>
          <w:numId w:val="11"/>
        </w:numPr>
        <w:spacing w:after="0" w:line="360" w:lineRule="auto"/>
        <w:ind w:left="567"/>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парк принтеров и МФУ ПАО «Челябэнергосбыт» составляет 424 ед. По срокам ввода в эксплуатацию разбивка следующая: </w:t>
      </w:r>
    </w:p>
    <w:tbl>
      <w:tblPr>
        <w:tblStyle w:val="ac"/>
        <w:tblW w:w="0" w:type="auto"/>
        <w:tblInd w:w="710" w:type="dxa"/>
        <w:tblLook w:val="04A0" w:firstRow="1" w:lastRow="0" w:firstColumn="1" w:lastColumn="0" w:noHBand="0" w:noVBand="1"/>
      </w:tblPr>
      <w:tblGrid>
        <w:gridCol w:w="816"/>
        <w:gridCol w:w="2410"/>
      </w:tblGrid>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lastRenderedPageBreak/>
              <w:t>Год</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Число принтеров  МФУ</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2006</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170</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2007</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37</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2008</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30</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2009</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55</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2010</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49</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2011</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2012</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29</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2013</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61</w:t>
            </w:r>
          </w:p>
        </w:tc>
      </w:tr>
      <w:tr w:rsidR="00FC7EF7" w:rsidRPr="00247DCB" w:rsidTr="00E80CE5">
        <w:trPr>
          <w:trHeight w:val="293"/>
        </w:trPr>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2014</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2015</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Итого</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424</w:t>
            </w:r>
          </w:p>
        </w:tc>
      </w:tr>
    </w:tbl>
    <w:p w:rsidR="00FC7EF7" w:rsidRPr="00247DCB" w:rsidRDefault="00FC7EF7" w:rsidP="00FC7EF7">
      <w:pPr>
        <w:spacing w:after="0" w:line="360" w:lineRule="auto"/>
        <w:contextualSpacing/>
        <w:jc w:val="both"/>
        <w:rPr>
          <w:rFonts w:ascii="Times New Roman" w:eastAsia="Times New Roman" w:hAnsi="Times New Roman" w:cs="Times New Roman"/>
          <w:bCs/>
          <w:sz w:val="24"/>
          <w:szCs w:val="24"/>
          <w:lang w:eastAsia="ru-RU"/>
        </w:rPr>
      </w:pP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Полезный срок использования объектов данной группы оборудования без утери функциональности составляет  5-6 лет. Свыше данного срока эксплуатация оборудования приводит к следующим рискам: </w:t>
      </w:r>
    </w:p>
    <w:p w:rsidR="00E82005" w:rsidRPr="00247DCB" w:rsidRDefault="00E82005" w:rsidP="00FC7EF7">
      <w:pPr>
        <w:pStyle w:val="a3"/>
        <w:numPr>
          <w:ilvl w:val="0"/>
          <w:numId w:val="11"/>
        </w:numPr>
        <w:spacing w:after="0" w:line="360" w:lineRule="auto"/>
        <w:ind w:left="1276"/>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оборудование часто выходит из строя и требует затрат на ремонт</w:t>
      </w:r>
    </w:p>
    <w:p w:rsidR="00E82005" w:rsidRPr="00247DCB" w:rsidRDefault="00E82005" w:rsidP="00FC7EF7">
      <w:pPr>
        <w:pStyle w:val="a3"/>
        <w:numPr>
          <w:ilvl w:val="0"/>
          <w:numId w:val="11"/>
        </w:numPr>
        <w:spacing w:after="0" w:line="360" w:lineRule="auto"/>
        <w:ind w:left="1276"/>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оборудование не обеспечивает необходимой производительности для работы типовых технологических задач</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Таким образом, гарантированно выработало свой ресу</w:t>
      </w:r>
      <w:r w:rsidR="00FC7EF7" w:rsidRPr="00247DCB">
        <w:rPr>
          <w:rFonts w:ascii="Times New Roman" w:eastAsia="Times New Roman" w:hAnsi="Times New Roman" w:cs="Times New Roman"/>
          <w:bCs/>
          <w:sz w:val="24"/>
          <w:szCs w:val="24"/>
          <w:lang w:eastAsia="ru-RU"/>
        </w:rPr>
        <w:t>рс и требует замены не менее 467 единиц персональных компьютеров, и 292 единицы принтеров и МФУ.</w:t>
      </w:r>
    </w:p>
    <w:p w:rsidR="00FC7EF7" w:rsidRPr="00247DCB" w:rsidRDefault="00FC7EF7"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Кроме того необходимо отметить, что на предприятии внедряется система </w:t>
      </w:r>
      <w:proofErr w:type="spellStart"/>
      <w:r w:rsidRPr="00247DCB">
        <w:rPr>
          <w:rFonts w:ascii="Times New Roman" w:eastAsia="Times New Roman" w:hAnsi="Times New Roman" w:cs="Times New Roman"/>
          <w:bCs/>
          <w:sz w:val="24"/>
          <w:szCs w:val="24"/>
          <w:lang w:eastAsia="ru-RU"/>
        </w:rPr>
        <w:t>биллинга</w:t>
      </w:r>
      <w:proofErr w:type="spellEnd"/>
      <w:r w:rsidRPr="00247DCB">
        <w:rPr>
          <w:rFonts w:ascii="Times New Roman" w:eastAsia="Times New Roman" w:hAnsi="Times New Roman" w:cs="Times New Roman"/>
          <w:bCs/>
          <w:sz w:val="24"/>
          <w:szCs w:val="24"/>
          <w:lang w:eastAsia="ru-RU"/>
        </w:rPr>
        <w:t xml:space="preserve">, </w:t>
      </w:r>
      <w:proofErr w:type="gramStart"/>
      <w:r w:rsidRPr="00247DCB">
        <w:rPr>
          <w:rFonts w:ascii="Times New Roman" w:eastAsia="Times New Roman" w:hAnsi="Times New Roman" w:cs="Times New Roman"/>
          <w:bCs/>
          <w:sz w:val="24"/>
          <w:szCs w:val="24"/>
          <w:lang w:eastAsia="ru-RU"/>
        </w:rPr>
        <w:t>для</w:t>
      </w:r>
      <w:proofErr w:type="gramEnd"/>
      <w:r w:rsidRPr="00247DCB">
        <w:rPr>
          <w:rFonts w:ascii="Times New Roman" w:eastAsia="Times New Roman" w:hAnsi="Times New Roman" w:cs="Times New Roman"/>
          <w:bCs/>
          <w:sz w:val="24"/>
          <w:szCs w:val="24"/>
          <w:lang w:eastAsia="ru-RU"/>
        </w:rPr>
        <w:t xml:space="preserve"> </w:t>
      </w:r>
      <w:proofErr w:type="gramStart"/>
      <w:r w:rsidRPr="00247DCB">
        <w:rPr>
          <w:rFonts w:ascii="Times New Roman" w:eastAsia="Times New Roman" w:hAnsi="Times New Roman" w:cs="Times New Roman"/>
          <w:bCs/>
          <w:sz w:val="24"/>
          <w:szCs w:val="24"/>
          <w:lang w:eastAsia="ru-RU"/>
        </w:rPr>
        <w:t>работе</w:t>
      </w:r>
      <w:proofErr w:type="gramEnd"/>
      <w:r w:rsidRPr="00247DCB">
        <w:rPr>
          <w:rFonts w:ascii="Times New Roman" w:eastAsia="Times New Roman" w:hAnsi="Times New Roman" w:cs="Times New Roman"/>
          <w:bCs/>
          <w:sz w:val="24"/>
          <w:szCs w:val="24"/>
          <w:lang w:eastAsia="ru-RU"/>
        </w:rPr>
        <w:t xml:space="preserve"> в которой персональные компьютеры должны соответствовать ряду требования, на данный момент не удовлетворяют требованиям для эксплуатации программы CC&amp;B 126 ПК.</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предотвращения ситуации, при которой оборудование, выработавшее свой ресурс, единовременно выйдет из строя, что повлечёт за собой необходимость экстренной замены парка техники, необходима реализация проекта поэтапного обновления парка оборудования.</w:t>
      </w:r>
    </w:p>
    <w:p w:rsidR="00FC7EF7" w:rsidRPr="00247DCB" w:rsidRDefault="00FC7EF7"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Введение в эксплуатацию будет проходить в течение 2017-219 годов равными долями по 252 единицы в год (162 единицы - персональные компьютеры </w:t>
      </w:r>
      <w:proofErr w:type="spellStart"/>
      <w:r w:rsidRPr="00247DCB">
        <w:rPr>
          <w:rFonts w:ascii="Times New Roman" w:eastAsia="Times New Roman" w:hAnsi="Times New Roman" w:cs="Times New Roman"/>
          <w:bCs/>
          <w:sz w:val="24"/>
          <w:szCs w:val="24"/>
          <w:lang w:eastAsia="ru-RU"/>
        </w:rPr>
        <w:t>ThinkCentre</w:t>
      </w:r>
      <w:proofErr w:type="spellEnd"/>
      <w:r w:rsidRPr="00247DCB">
        <w:rPr>
          <w:rFonts w:ascii="Times New Roman" w:eastAsia="Times New Roman" w:hAnsi="Times New Roman" w:cs="Times New Roman"/>
          <w:bCs/>
          <w:sz w:val="24"/>
          <w:szCs w:val="24"/>
          <w:lang w:eastAsia="ru-RU"/>
        </w:rPr>
        <w:t xml:space="preserve"> M700 + монитор </w:t>
      </w:r>
      <w:proofErr w:type="spellStart"/>
      <w:r w:rsidRPr="00247DCB">
        <w:rPr>
          <w:rFonts w:ascii="Times New Roman" w:eastAsia="Times New Roman" w:hAnsi="Times New Roman" w:cs="Times New Roman"/>
          <w:bCs/>
          <w:sz w:val="24"/>
          <w:szCs w:val="24"/>
          <w:lang w:eastAsia="ru-RU"/>
        </w:rPr>
        <w:t>BenQ</w:t>
      </w:r>
      <w:proofErr w:type="spellEnd"/>
      <w:r w:rsidRPr="00247DCB">
        <w:rPr>
          <w:rFonts w:ascii="Times New Roman" w:eastAsia="Times New Roman" w:hAnsi="Times New Roman" w:cs="Times New Roman"/>
          <w:bCs/>
          <w:sz w:val="24"/>
          <w:szCs w:val="24"/>
          <w:lang w:eastAsia="ru-RU"/>
        </w:rPr>
        <w:t xml:space="preserve"> , 90 единиц - многофункциональное печатное устройство  </w:t>
      </w:r>
      <w:proofErr w:type="spellStart"/>
      <w:r w:rsidRPr="00247DCB">
        <w:rPr>
          <w:rFonts w:ascii="Times New Roman" w:eastAsia="Times New Roman" w:hAnsi="Times New Roman" w:cs="Times New Roman"/>
          <w:bCs/>
          <w:sz w:val="24"/>
          <w:szCs w:val="24"/>
          <w:lang w:eastAsia="ru-RU"/>
        </w:rPr>
        <w:t>Xerox</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WorkCentre</w:t>
      </w:r>
      <w:proofErr w:type="spellEnd"/>
      <w:r w:rsidRPr="00247DCB">
        <w:rPr>
          <w:rFonts w:ascii="Times New Roman" w:eastAsia="Times New Roman" w:hAnsi="Times New Roman" w:cs="Times New Roman"/>
          <w:bCs/>
          <w:sz w:val="24"/>
          <w:szCs w:val="24"/>
          <w:lang w:eastAsia="ru-RU"/>
        </w:rPr>
        <w:t xml:space="preserve"> 3615DN)</w:t>
      </w:r>
    </w:p>
    <w:p w:rsidR="00FC7EF7" w:rsidRPr="00247DCB" w:rsidRDefault="00FC7EF7" w:rsidP="00C4779E">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7639" w:type="dxa"/>
        <w:tblLook w:val="04A0" w:firstRow="1" w:lastRow="0" w:firstColumn="1" w:lastColumn="0" w:noHBand="0" w:noVBand="1"/>
      </w:tblPr>
      <w:tblGrid>
        <w:gridCol w:w="3720"/>
        <w:gridCol w:w="982"/>
        <w:gridCol w:w="979"/>
        <w:gridCol w:w="979"/>
        <w:gridCol w:w="979"/>
      </w:tblGrid>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11 072</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3 691</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3 691</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3 691</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11 072</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3 691</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3 691</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3 691</w:t>
            </w:r>
          </w:p>
        </w:tc>
      </w:tr>
    </w:tbl>
    <w:p w:rsidR="0094522D" w:rsidRPr="00247DCB" w:rsidRDefault="00E82005" w:rsidP="00C4779E">
      <w:pPr>
        <w:pStyle w:val="a3"/>
        <w:numPr>
          <w:ilvl w:val="0"/>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 xml:space="preserve">Обслуживание системы АСКУЭ </w:t>
      </w:r>
      <w:r w:rsidR="002A11D9" w:rsidRPr="00247DCB">
        <w:rPr>
          <w:rFonts w:ascii="Times New Roman" w:eastAsia="Times New Roman" w:hAnsi="Times New Roman" w:cs="Times New Roman"/>
          <w:b/>
          <w:bCs/>
          <w:sz w:val="24"/>
          <w:szCs w:val="24"/>
          <w:lang w:eastAsia="ru-RU"/>
        </w:rPr>
        <w:t xml:space="preserve">бытовых </w:t>
      </w:r>
      <w:r w:rsidRPr="00247DCB">
        <w:rPr>
          <w:rFonts w:ascii="Times New Roman" w:eastAsia="Times New Roman" w:hAnsi="Times New Roman" w:cs="Times New Roman"/>
          <w:b/>
          <w:bCs/>
          <w:sz w:val="24"/>
          <w:szCs w:val="24"/>
          <w:lang w:eastAsia="ru-RU"/>
        </w:rPr>
        <w:t>потребителей</w:t>
      </w:r>
    </w:p>
    <w:p w:rsidR="00FC7EF7" w:rsidRPr="00247DCB" w:rsidRDefault="006D7886" w:rsidP="006D7886">
      <w:pPr>
        <w:spacing w:after="0" w:line="360" w:lineRule="auto"/>
        <w:ind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получение достоверной информации об объёмах потреблённой гражданами электроэнергии</w:t>
      </w:r>
      <w:r w:rsidR="002375C5" w:rsidRPr="00247DCB">
        <w:rPr>
          <w:rFonts w:ascii="Times New Roman" w:eastAsia="Times New Roman" w:hAnsi="Times New Roman" w:cs="Times New Roman"/>
          <w:bCs/>
          <w:sz w:val="24"/>
          <w:szCs w:val="24"/>
          <w:lang w:eastAsia="ru-RU"/>
        </w:rPr>
        <w:t>, устранение разногласий с сетевыми организациями, в части определения полезного отпуская населению.</w:t>
      </w:r>
    </w:p>
    <w:p w:rsidR="006D7886" w:rsidRPr="00247DCB" w:rsidRDefault="006D7886" w:rsidP="006D7886">
      <w:pPr>
        <w:spacing w:after="0" w:line="360" w:lineRule="auto"/>
        <w:ind w:firstLine="709"/>
        <w:jc w:val="both"/>
        <w:rPr>
          <w:rFonts w:ascii="Times New Roman" w:eastAsia="Times New Roman" w:hAnsi="Times New Roman" w:cs="Times New Roman"/>
          <w:bCs/>
          <w:sz w:val="24"/>
          <w:szCs w:val="24"/>
          <w:lang w:eastAsia="ru-RU"/>
        </w:rPr>
      </w:pPr>
    </w:p>
    <w:p w:rsidR="00E82005" w:rsidRPr="00247DCB" w:rsidRDefault="00A62357"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 рамках реализации инвестиционной программы 2011-2012 гг. на предприятии была создана </w:t>
      </w:r>
      <w:r w:rsidR="00E82005" w:rsidRPr="00247DCB">
        <w:rPr>
          <w:rFonts w:ascii="Times New Roman" w:eastAsia="Times New Roman" w:hAnsi="Times New Roman" w:cs="Times New Roman"/>
          <w:bCs/>
          <w:sz w:val="24"/>
          <w:szCs w:val="24"/>
          <w:lang w:eastAsia="ru-RU"/>
        </w:rPr>
        <w:t>система дистанционного сбора показаний с приборов учета бытовых потребителей (СДСП БП), состоящая из следующих компонентов:</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Индивидуальные однофазные приборы учета (ИПУ) установлены для учета индивидуального потребления электроэнергии собственников жилых и нежилых помещений в многоквартирных домах (МКД) – 134 246 приборов учета;</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Общедомовые трехфазные приборы учета (ОПУ) установлены в </w:t>
      </w:r>
      <w:proofErr w:type="spellStart"/>
      <w:r w:rsidRPr="00247DCB">
        <w:rPr>
          <w:rFonts w:ascii="Times New Roman" w:eastAsia="Times New Roman" w:hAnsi="Times New Roman" w:cs="Times New Roman"/>
          <w:bCs/>
          <w:sz w:val="24"/>
          <w:szCs w:val="24"/>
          <w:lang w:eastAsia="ru-RU"/>
        </w:rPr>
        <w:t>электрощитовых</w:t>
      </w:r>
      <w:proofErr w:type="spellEnd"/>
      <w:r w:rsidRPr="00247DCB">
        <w:rPr>
          <w:rFonts w:ascii="Times New Roman" w:eastAsia="Times New Roman" w:hAnsi="Times New Roman" w:cs="Times New Roman"/>
          <w:bCs/>
          <w:sz w:val="24"/>
          <w:szCs w:val="24"/>
          <w:lang w:eastAsia="ru-RU"/>
        </w:rPr>
        <w:t xml:space="preserve"> МКД для учета общедомового потребления электроэнергии – 4 987 приборов учета;</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Трансформаторы тока обеспечивают подключение ОПУ к электросети в </w:t>
      </w:r>
      <w:proofErr w:type="spellStart"/>
      <w:r w:rsidRPr="00247DCB">
        <w:rPr>
          <w:rFonts w:ascii="Times New Roman" w:eastAsia="Times New Roman" w:hAnsi="Times New Roman" w:cs="Times New Roman"/>
          <w:bCs/>
          <w:sz w:val="24"/>
          <w:szCs w:val="24"/>
          <w:lang w:eastAsia="ru-RU"/>
        </w:rPr>
        <w:t>электрощитовых</w:t>
      </w:r>
      <w:proofErr w:type="spellEnd"/>
      <w:r w:rsidRPr="00247DCB">
        <w:rPr>
          <w:rFonts w:ascii="Times New Roman" w:eastAsia="Times New Roman" w:hAnsi="Times New Roman" w:cs="Times New Roman"/>
          <w:bCs/>
          <w:sz w:val="24"/>
          <w:szCs w:val="24"/>
          <w:lang w:eastAsia="ru-RU"/>
        </w:rPr>
        <w:t xml:space="preserve"> МКД – 2 079 комплектов трансформаторов;</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Концентраторы (маршрутизаторы) установлены в распределительных трансформаторных подстанциях и обеспечивают снятие показаний ИПУ и ОПУ и передачу этих показаний на сервер ПАО «Челябэнергосбыт» - 973 штуки.</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 СДСП БП эксплуатируется и выполняет следующие функции:</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своевременное получение достоверных данных об индивидуальном и общедомовом потреблении электрической энергии в автоматизированном режиме;</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введение ограничения режима потребления электроэнергии бытовым потребителям, имеющим задолженность.</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соответствии с требованиями п. 145 «Основных положений функционирования р</w:t>
      </w:r>
      <w:r w:rsidR="00A62357" w:rsidRPr="00247DCB">
        <w:rPr>
          <w:rFonts w:ascii="Times New Roman" w:eastAsia="Times New Roman" w:hAnsi="Times New Roman" w:cs="Times New Roman"/>
          <w:bCs/>
          <w:sz w:val="24"/>
          <w:szCs w:val="24"/>
          <w:lang w:eastAsia="ru-RU"/>
        </w:rPr>
        <w:t>озничных рынков электроэнергии»</w:t>
      </w:r>
      <w:r w:rsidRPr="00247DCB">
        <w:rPr>
          <w:rFonts w:ascii="Times New Roman" w:eastAsia="Times New Roman" w:hAnsi="Times New Roman" w:cs="Times New Roman"/>
          <w:bCs/>
          <w:sz w:val="24"/>
          <w:szCs w:val="24"/>
          <w:lang w:eastAsia="ru-RU"/>
        </w:rPr>
        <w:t>: «…Обязанность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 Таким образом, на ПАО «Челябэнергосбыт», как на собственника измерительных комплексов законодательно возложена обязанность по поддержанию данной системы в работоспособном состоянии.</w:t>
      </w:r>
    </w:p>
    <w:p w:rsidR="00C4779E" w:rsidRPr="00247DCB" w:rsidRDefault="007920F3"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Да</w:t>
      </w:r>
      <w:r w:rsidR="00C4779E" w:rsidRPr="00247DCB">
        <w:rPr>
          <w:rFonts w:ascii="Times New Roman" w:eastAsia="Times New Roman" w:hAnsi="Times New Roman" w:cs="Times New Roman"/>
          <w:bCs/>
          <w:sz w:val="24"/>
          <w:szCs w:val="24"/>
          <w:lang w:eastAsia="ru-RU"/>
        </w:rPr>
        <w:t>нное оборудование не может быть передано в собственность физических лиц, так как технически является единым измерительным комплексом, учтённ</w:t>
      </w:r>
      <w:r w:rsidRPr="00247DCB">
        <w:rPr>
          <w:rFonts w:ascii="Times New Roman" w:eastAsia="Times New Roman" w:hAnsi="Times New Roman" w:cs="Times New Roman"/>
          <w:bCs/>
          <w:sz w:val="24"/>
          <w:szCs w:val="24"/>
          <w:lang w:eastAsia="ru-RU"/>
        </w:rPr>
        <w:t>ы</w:t>
      </w:r>
      <w:r w:rsidR="00C4779E" w:rsidRPr="00247DCB">
        <w:rPr>
          <w:rFonts w:ascii="Times New Roman" w:eastAsia="Times New Roman" w:hAnsi="Times New Roman" w:cs="Times New Roman"/>
          <w:bCs/>
          <w:sz w:val="24"/>
          <w:szCs w:val="24"/>
          <w:lang w:eastAsia="ru-RU"/>
        </w:rPr>
        <w:t>м на балансе организации под различными инвентарными номерами.</w:t>
      </w:r>
    </w:p>
    <w:p w:rsidR="007920F3" w:rsidRPr="00247DCB" w:rsidRDefault="007920F3"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Кроме того, использование комплекса АИИСКУЭ позволяет избежать разновременности снятия показаний приборов учёта, что </w:t>
      </w:r>
      <w:r w:rsidR="002375C5" w:rsidRPr="00247DCB">
        <w:rPr>
          <w:rFonts w:ascii="Times New Roman" w:eastAsia="Times New Roman" w:hAnsi="Times New Roman" w:cs="Times New Roman"/>
          <w:bCs/>
          <w:sz w:val="24"/>
          <w:szCs w:val="24"/>
          <w:lang w:eastAsia="ru-RU"/>
        </w:rPr>
        <w:t xml:space="preserve">устраняет разногласия с сетевыми организациями в части определения объёмов полезного отпуска населению. </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реализации инвестиционного проекта будет проведена:</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замена и настройка концентраторов в количестве 20 единиц;</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замена приборов учёта системы АИИСКУЭ в количестве 450 </w:t>
      </w:r>
      <w:proofErr w:type="spellStart"/>
      <w:proofErr w:type="gramStart"/>
      <w:r w:rsidRPr="00247DCB">
        <w:rPr>
          <w:rFonts w:ascii="Times New Roman" w:eastAsia="Times New Roman" w:hAnsi="Times New Roman" w:cs="Times New Roman"/>
          <w:bCs/>
          <w:sz w:val="24"/>
          <w:szCs w:val="24"/>
          <w:lang w:eastAsia="ru-RU"/>
        </w:rPr>
        <w:t>шт</w:t>
      </w:r>
      <w:proofErr w:type="spellEnd"/>
      <w:proofErr w:type="gramEnd"/>
      <w:r w:rsidRPr="00247DCB">
        <w:rPr>
          <w:rFonts w:ascii="Times New Roman" w:eastAsia="Times New Roman" w:hAnsi="Times New Roman" w:cs="Times New Roman"/>
          <w:bCs/>
          <w:sz w:val="24"/>
          <w:szCs w:val="24"/>
          <w:lang w:eastAsia="ru-RU"/>
        </w:rPr>
        <w:t>;</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замена и проверка трансформаторов тока в количестве 2079 единиц</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эксплуатацию будут введены:</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прибор учёта электрической энергии </w:t>
      </w:r>
      <w:proofErr w:type="spellStart"/>
      <w:r w:rsidRPr="00247DCB">
        <w:rPr>
          <w:rFonts w:ascii="Times New Roman" w:eastAsia="Times New Roman" w:hAnsi="Times New Roman" w:cs="Times New Roman"/>
          <w:bCs/>
          <w:sz w:val="24"/>
          <w:szCs w:val="24"/>
          <w:lang w:eastAsia="ru-RU"/>
        </w:rPr>
        <w:t>Эмис</w:t>
      </w:r>
      <w:proofErr w:type="spellEnd"/>
      <w:r w:rsidRPr="00247DCB">
        <w:rPr>
          <w:rFonts w:ascii="Times New Roman" w:eastAsia="Times New Roman" w:hAnsi="Times New Roman" w:cs="Times New Roman"/>
          <w:bCs/>
          <w:sz w:val="24"/>
          <w:szCs w:val="24"/>
          <w:lang w:eastAsia="ru-RU"/>
        </w:rPr>
        <w:t xml:space="preserve"> - Электра 970</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прибор учёта электрической энергии </w:t>
      </w:r>
      <w:proofErr w:type="spellStart"/>
      <w:r w:rsidRPr="00247DCB">
        <w:rPr>
          <w:rFonts w:ascii="Times New Roman" w:eastAsia="Times New Roman" w:hAnsi="Times New Roman" w:cs="Times New Roman"/>
          <w:bCs/>
          <w:sz w:val="24"/>
          <w:szCs w:val="24"/>
          <w:lang w:eastAsia="ru-RU"/>
        </w:rPr>
        <w:t>Эмис</w:t>
      </w:r>
      <w:proofErr w:type="spellEnd"/>
      <w:r w:rsidRPr="00247DCB">
        <w:rPr>
          <w:rFonts w:ascii="Times New Roman" w:eastAsia="Times New Roman" w:hAnsi="Times New Roman" w:cs="Times New Roman"/>
          <w:bCs/>
          <w:sz w:val="24"/>
          <w:szCs w:val="24"/>
          <w:lang w:eastAsia="ru-RU"/>
        </w:rPr>
        <w:t xml:space="preserve"> - Электра 975</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концентратор </w:t>
      </w:r>
      <w:proofErr w:type="spellStart"/>
      <w:r w:rsidRPr="00247DCB">
        <w:rPr>
          <w:rFonts w:ascii="Times New Roman" w:eastAsia="Times New Roman" w:hAnsi="Times New Roman" w:cs="Times New Roman"/>
          <w:bCs/>
          <w:sz w:val="24"/>
          <w:szCs w:val="24"/>
          <w:lang w:eastAsia="ru-RU"/>
        </w:rPr>
        <w:t>Эмис</w:t>
      </w:r>
      <w:proofErr w:type="spellEnd"/>
      <w:r w:rsidRPr="00247DCB">
        <w:rPr>
          <w:rFonts w:ascii="Times New Roman" w:eastAsia="Times New Roman" w:hAnsi="Times New Roman" w:cs="Times New Roman"/>
          <w:bCs/>
          <w:sz w:val="24"/>
          <w:szCs w:val="24"/>
          <w:lang w:eastAsia="ru-RU"/>
        </w:rPr>
        <w:t xml:space="preserve"> - Электра 950</w:t>
      </w:r>
    </w:p>
    <w:p w:rsidR="002E5513"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комплект трансформатора тока</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5681" w:type="dxa"/>
        <w:tblLook w:val="04A0" w:firstRow="1" w:lastRow="0" w:firstColumn="1" w:lastColumn="0" w:noHBand="0" w:noVBand="1"/>
      </w:tblPr>
      <w:tblGrid>
        <w:gridCol w:w="3720"/>
        <w:gridCol w:w="982"/>
        <w:gridCol w:w="979"/>
      </w:tblGrid>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6F5AEC" w:rsidRPr="00247DCB" w:rsidRDefault="006F5AEC" w:rsidP="00A83759">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12 575</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12 575</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6F5AEC" w:rsidRPr="00247DCB" w:rsidRDefault="006F5AEC"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11 625</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11 625</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w:t>
            </w:r>
          </w:p>
        </w:tc>
        <w:tc>
          <w:tcPr>
            <w:tcW w:w="982" w:type="dxa"/>
          </w:tcPr>
          <w:p w:rsidR="006F5AEC" w:rsidRPr="00247DCB" w:rsidRDefault="006F5AEC"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950</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950</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483EFB" w:rsidRPr="00247DCB" w:rsidRDefault="00483EFB" w:rsidP="00C4779E">
      <w:pPr>
        <w:pStyle w:val="a3"/>
        <w:numPr>
          <w:ilvl w:val="0"/>
          <w:numId w:val="1"/>
        </w:numPr>
        <w:spacing w:after="0" w:line="360" w:lineRule="auto"/>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Монтаж аварийного эвакуационного выхода</w:t>
      </w:r>
    </w:p>
    <w:p w:rsidR="002375C5" w:rsidRPr="00247DCB" w:rsidRDefault="002375C5" w:rsidP="002375C5">
      <w:pPr>
        <w:spacing w:after="0" w:line="360" w:lineRule="auto"/>
        <w:ind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обеспечение пожарной безопасности</w:t>
      </w:r>
    </w:p>
    <w:p w:rsidR="00483EFB" w:rsidRPr="00247DCB" w:rsidRDefault="00483EFB"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Согласно предписаниям пожарного инспектора ОГПИ Калининского района, необходимо </w:t>
      </w:r>
      <w:r w:rsidR="00FC1D11" w:rsidRPr="00247DCB">
        <w:rPr>
          <w:rFonts w:ascii="Times New Roman" w:eastAsia="Times New Roman" w:hAnsi="Times New Roman" w:cs="Times New Roman"/>
          <w:bCs/>
          <w:sz w:val="24"/>
          <w:szCs w:val="24"/>
          <w:lang w:eastAsia="ru-RU"/>
        </w:rPr>
        <w:t xml:space="preserve">оборудовать </w:t>
      </w:r>
      <w:r w:rsidRPr="00247DCB">
        <w:rPr>
          <w:rFonts w:ascii="Times New Roman" w:eastAsia="Times New Roman" w:hAnsi="Times New Roman" w:cs="Times New Roman"/>
          <w:bCs/>
          <w:sz w:val="24"/>
          <w:szCs w:val="24"/>
          <w:lang w:eastAsia="ru-RU"/>
        </w:rPr>
        <w:t>помещение второго этажа здания по адресу г. Челябинск, ул. Калинина, д.7  аварийным эвакуационным выходом.</w:t>
      </w:r>
    </w:p>
    <w:p w:rsidR="00483EFB" w:rsidRPr="00247DCB" w:rsidRDefault="00483EFB"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 помещение по вышеуказанному адресу не удовлетворяет требованиям пожарной безопасности</w:t>
      </w:r>
      <w:r w:rsidR="002E5513" w:rsidRPr="00247DCB">
        <w:rPr>
          <w:rFonts w:ascii="Times New Roman" w:eastAsia="Times New Roman" w:hAnsi="Times New Roman" w:cs="Times New Roman"/>
          <w:bCs/>
          <w:sz w:val="24"/>
          <w:szCs w:val="24"/>
          <w:lang w:eastAsia="ru-RU"/>
        </w:rPr>
        <w:t>.</w:t>
      </w:r>
    </w:p>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tbl>
      <w:tblPr>
        <w:tblStyle w:val="ac"/>
        <w:tblW w:w="5681" w:type="dxa"/>
        <w:tblLook w:val="04A0" w:firstRow="1" w:lastRow="0" w:firstColumn="1" w:lastColumn="0" w:noHBand="0" w:noVBand="1"/>
      </w:tblPr>
      <w:tblGrid>
        <w:gridCol w:w="3720"/>
        <w:gridCol w:w="982"/>
        <w:gridCol w:w="979"/>
      </w:tblGrid>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500</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500</w:t>
            </w:r>
          </w:p>
        </w:tc>
      </w:tr>
      <w:tr w:rsidR="006F5AEC" w:rsidRPr="00247DCB" w:rsidTr="006F5AEC">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w:t>
            </w:r>
          </w:p>
        </w:tc>
        <w:tc>
          <w:tcPr>
            <w:tcW w:w="982"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500</w:t>
            </w:r>
          </w:p>
        </w:tc>
        <w:tc>
          <w:tcPr>
            <w:tcW w:w="979"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500</w:t>
            </w:r>
          </w:p>
        </w:tc>
      </w:tr>
    </w:tbl>
    <w:p w:rsidR="00CB419F"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64FC6" w:rsidRDefault="00964FC6"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64FC6" w:rsidRDefault="00964FC6"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64FC6" w:rsidRPr="00247DCB" w:rsidRDefault="00964FC6" w:rsidP="00964FC6">
      <w:pPr>
        <w:spacing w:after="0" w:line="36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Генеральный директор</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А.В. Красиков</w:t>
      </w:r>
    </w:p>
    <w:sectPr w:rsidR="00964FC6" w:rsidRPr="0024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6E8"/>
    <w:multiLevelType w:val="hybridMultilevel"/>
    <w:tmpl w:val="BB622322"/>
    <w:lvl w:ilvl="0" w:tplc="4F5E5A02">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52540D"/>
    <w:multiLevelType w:val="hybridMultilevel"/>
    <w:tmpl w:val="10E69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46EC0"/>
    <w:multiLevelType w:val="hybridMultilevel"/>
    <w:tmpl w:val="A90A526A"/>
    <w:lvl w:ilvl="0" w:tplc="44F625F6">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9965D3"/>
    <w:multiLevelType w:val="hybridMultilevel"/>
    <w:tmpl w:val="73C23410"/>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4">
    <w:nsid w:val="429E6445"/>
    <w:multiLevelType w:val="hybridMultilevel"/>
    <w:tmpl w:val="80CA57E0"/>
    <w:lvl w:ilvl="0" w:tplc="5D18D0F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741A6D"/>
    <w:multiLevelType w:val="hybridMultilevel"/>
    <w:tmpl w:val="87C89BCC"/>
    <w:lvl w:ilvl="0" w:tplc="D2BAC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B81D92"/>
    <w:multiLevelType w:val="hybridMultilevel"/>
    <w:tmpl w:val="5D3665DA"/>
    <w:lvl w:ilvl="0" w:tplc="CC3CA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C991BA4"/>
    <w:multiLevelType w:val="hybridMultilevel"/>
    <w:tmpl w:val="4C0A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A02BE8"/>
    <w:multiLevelType w:val="multilevel"/>
    <w:tmpl w:val="4B82185A"/>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1665FDA"/>
    <w:multiLevelType w:val="multilevel"/>
    <w:tmpl w:val="C7CC6C3A"/>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DE641DE"/>
    <w:multiLevelType w:val="hybridMultilevel"/>
    <w:tmpl w:val="B2A03C34"/>
    <w:lvl w:ilvl="0" w:tplc="BC6C1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0"/>
  </w:num>
  <w:num w:numId="3">
    <w:abstractNumId w:val="8"/>
  </w:num>
  <w:num w:numId="4">
    <w:abstractNumId w:val="6"/>
  </w:num>
  <w:num w:numId="5">
    <w:abstractNumId w:val="1"/>
  </w:num>
  <w:num w:numId="6">
    <w:abstractNumId w:val="10"/>
  </w:num>
  <w:num w:numId="7">
    <w:abstractNumId w:val="5"/>
  </w:num>
  <w:num w:numId="8">
    <w:abstractNumId w:val="4"/>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CF"/>
    <w:rsid w:val="00001CC6"/>
    <w:rsid w:val="00014A6B"/>
    <w:rsid w:val="0002059D"/>
    <w:rsid w:val="00021C6B"/>
    <w:rsid w:val="0002364D"/>
    <w:rsid w:val="0006151D"/>
    <w:rsid w:val="00081B6D"/>
    <w:rsid w:val="0008671E"/>
    <w:rsid w:val="000A63CA"/>
    <w:rsid w:val="000B7E1F"/>
    <w:rsid w:val="000D6D90"/>
    <w:rsid w:val="000F17F4"/>
    <w:rsid w:val="00141C9E"/>
    <w:rsid w:val="0015347F"/>
    <w:rsid w:val="00166685"/>
    <w:rsid w:val="00183587"/>
    <w:rsid w:val="001E6E94"/>
    <w:rsid w:val="00216EC1"/>
    <w:rsid w:val="0021788B"/>
    <w:rsid w:val="002375C5"/>
    <w:rsid w:val="00247DCB"/>
    <w:rsid w:val="00290F91"/>
    <w:rsid w:val="002A11D9"/>
    <w:rsid w:val="002A7F83"/>
    <w:rsid w:val="002E3CDA"/>
    <w:rsid w:val="002E5513"/>
    <w:rsid w:val="003025A7"/>
    <w:rsid w:val="003808AF"/>
    <w:rsid w:val="003845E8"/>
    <w:rsid w:val="00392505"/>
    <w:rsid w:val="003B7BB5"/>
    <w:rsid w:val="003E6031"/>
    <w:rsid w:val="003E7AB9"/>
    <w:rsid w:val="00452A26"/>
    <w:rsid w:val="00481735"/>
    <w:rsid w:val="00482708"/>
    <w:rsid w:val="00483EFB"/>
    <w:rsid w:val="005104BC"/>
    <w:rsid w:val="00520B70"/>
    <w:rsid w:val="00542BB5"/>
    <w:rsid w:val="00597E3E"/>
    <w:rsid w:val="005F44DF"/>
    <w:rsid w:val="00625D7D"/>
    <w:rsid w:val="006443CF"/>
    <w:rsid w:val="00660F6B"/>
    <w:rsid w:val="006A6C3B"/>
    <w:rsid w:val="006B3724"/>
    <w:rsid w:val="006D05AB"/>
    <w:rsid w:val="006D7886"/>
    <w:rsid w:val="006F5AEC"/>
    <w:rsid w:val="00710B35"/>
    <w:rsid w:val="0074098D"/>
    <w:rsid w:val="00760589"/>
    <w:rsid w:val="007610CF"/>
    <w:rsid w:val="007847F0"/>
    <w:rsid w:val="00786C2A"/>
    <w:rsid w:val="007920F3"/>
    <w:rsid w:val="00793E6F"/>
    <w:rsid w:val="00795579"/>
    <w:rsid w:val="007A3DD0"/>
    <w:rsid w:val="007B473C"/>
    <w:rsid w:val="007B48BC"/>
    <w:rsid w:val="00822F13"/>
    <w:rsid w:val="00835789"/>
    <w:rsid w:val="008718CB"/>
    <w:rsid w:val="008C4E3F"/>
    <w:rsid w:val="008D55CD"/>
    <w:rsid w:val="00915CAA"/>
    <w:rsid w:val="0094522D"/>
    <w:rsid w:val="00964062"/>
    <w:rsid w:val="00964FC6"/>
    <w:rsid w:val="009700A6"/>
    <w:rsid w:val="009B225A"/>
    <w:rsid w:val="00A14ABC"/>
    <w:rsid w:val="00A26509"/>
    <w:rsid w:val="00A30291"/>
    <w:rsid w:val="00A513FB"/>
    <w:rsid w:val="00A62357"/>
    <w:rsid w:val="00A83759"/>
    <w:rsid w:val="00AA74EE"/>
    <w:rsid w:val="00AF06B2"/>
    <w:rsid w:val="00B30ADA"/>
    <w:rsid w:val="00B46C10"/>
    <w:rsid w:val="00B54CBF"/>
    <w:rsid w:val="00B743E4"/>
    <w:rsid w:val="00B97AB7"/>
    <w:rsid w:val="00C270FF"/>
    <w:rsid w:val="00C4779E"/>
    <w:rsid w:val="00C91249"/>
    <w:rsid w:val="00C92B6C"/>
    <w:rsid w:val="00CB419F"/>
    <w:rsid w:val="00CD7003"/>
    <w:rsid w:val="00CE2301"/>
    <w:rsid w:val="00D04C24"/>
    <w:rsid w:val="00D959D3"/>
    <w:rsid w:val="00DB35B5"/>
    <w:rsid w:val="00DD22D2"/>
    <w:rsid w:val="00DE0661"/>
    <w:rsid w:val="00DF0A57"/>
    <w:rsid w:val="00DF0EBD"/>
    <w:rsid w:val="00DF110C"/>
    <w:rsid w:val="00DF6F53"/>
    <w:rsid w:val="00E1547D"/>
    <w:rsid w:val="00E722FB"/>
    <w:rsid w:val="00E80CE5"/>
    <w:rsid w:val="00E82005"/>
    <w:rsid w:val="00E83A51"/>
    <w:rsid w:val="00E83CC8"/>
    <w:rsid w:val="00EB2078"/>
    <w:rsid w:val="00EB217A"/>
    <w:rsid w:val="00EB249F"/>
    <w:rsid w:val="00ED7985"/>
    <w:rsid w:val="00EF5BAA"/>
    <w:rsid w:val="00F34B9C"/>
    <w:rsid w:val="00F371C8"/>
    <w:rsid w:val="00F672A2"/>
    <w:rsid w:val="00F80BB0"/>
    <w:rsid w:val="00FC1D11"/>
    <w:rsid w:val="00FC7EF7"/>
    <w:rsid w:val="00FD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522D"/>
    <w:pPr>
      <w:ind w:left="720"/>
      <w:contextualSpacing/>
    </w:pPr>
  </w:style>
  <w:style w:type="character" w:customStyle="1" w:styleId="a4">
    <w:name w:val="Абзац списка Знак"/>
    <w:basedOn w:val="a0"/>
    <w:link w:val="a3"/>
    <w:uiPriority w:val="34"/>
    <w:rsid w:val="0094522D"/>
  </w:style>
  <w:style w:type="character" w:styleId="a5">
    <w:name w:val="annotation reference"/>
    <w:basedOn w:val="a0"/>
    <w:uiPriority w:val="99"/>
    <w:semiHidden/>
    <w:unhideWhenUsed/>
    <w:rsid w:val="00CE2301"/>
    <w:rPr>
      <w:sz w:val="16"/>
      <w:szCs w:val="16"/>
    </w:rPr>
  </w:style>
  <w:style w:type="paragraph" w:styleId="a6">
    <w:name w:val="annotation text"/>
    <w:basedOn w:val="a"/>
    <w:link w:val="a7"/>
    <w:uiPriority w:val="99"/>
    <w:semiHidden/>
    <w:unhideWhenUsed/>
    <w:rsid w:val="00CE2301"/>
    <w:pPr>
      <w:spacing w:line="240" w:lineRule="auto"/>
    </w:pPr>
    <w:rPr>
      <w:sz w:val="20"/>
      <w:szCs w:val="20"/>
    </w:rPr>
  </w:style>
  <w:style w:type="character" w:customStyle="1" w:styleId="a7">
    <w:name w:val="Текст примечания Знак"/>
    <w:basedOn w:val="a0"/>
    <w:link w:val="a6"/>
    <w:uiPriority w:val="99"/>
    <w:semiHidden/>
    <w:rsid w:val="00CE2301"/>
    <w:rPr>
      <w:sz w:val="20"/>
      <w:szCs w:val="20"/>
    </w:rPr>
  </w:style>
  <w:style w:type="paragraph" w:styleId="a8">
    <w:name w:val="annotation subject"/>
    <w:basedOn w:val="a6"/>
    <w:next w:val="a6"/>
    <w:link w:val="a9"/>
    <w:uiPriority w:val="99"/>
    <w:semiHidden/>
    <w:unhideWhenUsed/>
    <w:rsid w:val="00CE2301"/>
    <w:rPr>
      <w:b/>
      <w:bCs/>
    </w:rPr>
  </w:style>
  <w:style w:type="character" w:customStyle="1" w:styleId="a9">
    <w:name w:val="Тема примечания Знак"/>
    <w:basedOn w:val="a7"/>
    <w:link w:val="a8"/>
    <w:uiPriority w:val="99"/>
    <w:semiHidden/>
    <w:rsid w:val="00CE2301"/>
    <w:rPr>
      <w:b/>
      <w:bCs/>
      <w:sz w:val="20"/>
      <w:szCs w:val="20"/>
    </w:rPr>
  </w:style>
  <w:style w:type="paragraph" w:styleId="aa">
    <w:name w:val="Balloon Text"/>
    <w:basedOn w:val="a"/>
    <w:link w:val="ab"/>
    <w:uiPriority w:val="99"/>
    <w:semiHidden/>
    <w:unhideWhenUsed/>
    <w:rsid w:val="00CE23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2301"/>
    <w:rPr>
      <w:rFonts w:ascii="Tahoma" w:hAnsi="Tahoma" w:cs="Tahoma"/>
      <w:sz w:val="16"/>
      <w:szCs w:val="16"/>
    </w:rPr>
  </w:style>
  <w:style w:type="table" w:styleId="ac">
    <w:name w:val="Table Grid"/>
    <w:basedOn w:val="a1"/>
    <w:uiPriority w:val="59"/>
    <w:rsid w:val="00E8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5579"/>
    <w:pPr>
      <w:spacing w:after="0" w:line="240" w:lineRule="auto"/>
    </w:pPr>
  </w:style>
  <w:style w:type="paragraph" w:customStyle="1" w:styleId="ConsPlusNormal">
    <w:name w:val="ConsPlusNormal"/>
    <w:rsid w:val="00247DCB"/>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522D"/>
    <w:pPr>
      <w:ind w:left="720"/>
      <w:contextualSpacing/>
    </w:pPr>
  </w:style>
  <w:style w:type="character" w:customStyle="1" w:styleId="a4">
    <w:name w:val="Абзац списка Знак"/>
    <w:basedOn w:val="a0"/>
    <w:link w:val="a3"/>
    <w:uiPriority w:val="34"/>
    <w:rsid w:val="0094522D"/>
  </w:style>
  <w:style w:type="character" w:styleId="a5">
    <w:name w:val="annotation reference"/>
    <w:basedOn w:val="a0"/>
    <w:uiPriority w:val="99"/>
    <w:semiHidden/>
    <w:unhideWhenUsed/>
    <w:rsid w:val="00CE2301"/>
    <w:rPr>
      <w:sz w:val="16"/>
      <w:szCs w:val="16"/>
    </w:rPr>
  </w:style>
  <w:style w:type="paragraph" w:styleId="a6">
    <w:name w:val="annotation text"/>
    <w:basedOn w:val="a"/>
    <w:link w:val="a7"/>
    <w:uiPriority w:val="99"/>
    <w:semiHidden/>
    <w:unhideWhenUsed/>
    <w:rsid w:val="00CE2301"/>
    <w:pPr>
      <w:spacing w:line="240" w:lineRule="auto"/>
    </w:pPr>
    <w:rPr>
      <w:sz w:val="20"/>
      <w:szCs w:val="20"/>
    </w:rPr>
  </w:style>
  <w:style w:type="character" w:customStyle="1" w:styleId="a7">
    <w:name w:val="Текст примечания Знак"/>
    <w:basedOn w:val="a0"/>
    <w:link w:val="a6"/>
    <w:uiPriority w:val="99"/>
    <w:semiHidden/>
    <w:rsid w:val="00CE2301"/>
    <w:rPr>
      <w:sz w:val="20"/>
      <w:szCs w:val="20"/>
    </w:rPr>
  </w:style>
  <w:style w:type="paragraph" w:styleId="a8">
    <w:name w:val="annotation subject"/>
    <w:basedOn w:val="a6"/>
    <w:next w:val="a6"/>
    <w:link w:val="a9"/>
    <w:uiPriority w:val="99"/>
    <w:semiHidden/>
    <w:unhideWhenUsed/>
    <w:rsid w:val="00CE2301"/>
    <w:rPr>
      <w:b/>
      <w:bCs/>
    </w:rPr>
  </w:style>
  <w:style w:type="character" w:customStyle="1" w:styleId="a9">
    <w:name w:val="Тема примечания Знак"/>
    <w:basedOn w:val="a7"/>
    <w:link w:val="a8"/>
    <w:uiPriority w:val="99"/>
    <w:semiHidden/>
    <w:rsid w:val="00CE2301"/>
    <w:rPr>
      <w:b/>
      <w:bCs/>
      <w:sz w:val="20"/>
      <w:szCs w:val="20"/>
    </w:rPr>
  </w:style>
  <w:style w:type="paragraph" w:styleId="aa">
    <w:name w:val="Balloon Text"/>
    <w:basedOn w:val="a"/>
    <w:link w:val="ab"/>
    <w:uiPriority w:val="99"/>
    <w:semiHidden/>
    <w:unhideWhenUsed/>
    <w:rsid w:val="00CE23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2301"/>
    <w:rPr>
      <w:rFonts w:ascii="Tahoma" w:hAnsi="Tahoma" w:cs="Tahoma"/>
      <w:sz w:val="16"/>
      <w:szCs w:val="16"/>
    </w:rPr>
  </w:style>
  <w:style w:type="table" w:styleId="ac">
    <w:name w:val="Table Grid"/>
    <w:basedOn w:val="a1"/>
    <w:uiPriority w:val="59"/>
    <w:rsid w:val="00E8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5579"/>
    <w:pPr>
      <w:spacing w:after="0" w:line="240" w:lineRule="auto"/>
    </w:pPr>
  </w:style>
  <w:style w:type="paragraph" w:customStyle="1" w:styleId="ConsPlusNormal">
    <w:name w:val="ConsPlusNormal"/>
    <w:rsid w:val="00247DCB"/>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E8FC-BE96-44DE-A5AC-DE658513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21</Pages>
  <Words>5838</Words>
  <Characters>33282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39042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Фрадкин Алексей Александрович</dc:creator>
  <cp:lastModifiedBy>Фрадкин Алексей Александрович</cp:lastModifiedBy>
  <cp:revision>16</cp:revision>
  <cp:lastPrinted>2016-03-30T11:40:00Z</cp:lastPrinted>
  <dcterms:created xsi:type="dcterms:W3CDTF">2016-03-24T13:36:00Z</dcterms:created>
  <dcterms:modified xsi:type="dcterms:W3CDTF">2016-03-30T12:38:00Z</dcterms:modified>
</cp:coreProperties>
</file>