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2" w:rsidRDefault="00984FF2" w:rsidP="00391938">
      <w:r>
        <w:t xml:space="preserve"> </w:t>
      </w:r>
    </w:p>
    <w:p w:rsidR="00C00085" w:rsidRPr="004D29BC" w:rsidRDefault="00847904" w:rsidP="00C00085">
      <w:pPr>
        <w:tabs>
          <w:tab w:val="left" w:pos="9781"/>
        </w:tabs>
        <w:ind w:right="63" w:firstLine="561"/>
      </w:pP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 w:rsidR="00575FAD">
        <w:rPr>
          <w:i/>
          <w:szCs w:val="18"/>
        </w:rPr>
        <w:tab/>
      </w:r>
      <w:r w:rsidR="00575FAD">
        <w:rPr>
          <w:i/>
          <w:szCs w:val="18"/>
        </w:rPr>
        <w:tab/>
      </w:r>
      <w:r w:rsidR="00C00085" w:rsidRPr="004D29BC">
        <w:t>2. Основные условия договора энергоснабжения (купли-продажи электроэнергии):</w:t>
      </w:r>
    </w:p>
    <w:p w:rsidR="00C00085" w:rsidRPr="004D29BC" w:rsidRDefault="00C00085" w:rsidP="00D334ED">
      <w:pPr>
        <w:tabs>
          <w:tab w:val="left" w:pos="9781"/>
        </w:tabs>
        <w:ind w:right="63" w:firstLine="561"/>
        <w:jc w:val="both"/>
      </w:pPr>
      <w:r w:rsidRPr="004D29BC">
        <w:rPr>
          <w:b/>
        </w:rPr>
        <w:t>Срок действия договора</w:t>
      </w:r>
      <w:r w:rsidRPr="004D29BC">
        <w:t xml:space="preserve">: вступает в силу с момента </w:t>
      </w:r>
      <w:r w:rsidR="00D334ED" w:rsidRPr="004D29BC">
        <w:t>заключения</w:t>
      </w:r>
      <w:r w:rsidRPr="004D29BC">
        <w:t xml:space="preserve"> и действует по 31 декабря с ежегодной </w:t>
      </w:r>
      <w:r w:rsidR="008D5B96" w:rsidRPr="004D29BC">
        <w:t>пролонгацией.</w:t>
      </w:r>
    </w:p>
    <w:p w:rsidR="00C00085" w:rsidRPr="004D29BC" w:rsidRDefault="00C00085" w:rsidP="00D334ED">
      <w:pPr>
        <w:tabs>
          <w:tab w:val="left" w:pos="9781"/>
        </w:tabs>
        <w:ind w:right="63" w:firstLine="561"/>
        <w:jc w:val="both"/>
      </w:pPr>
    </w:p>
    <w:p w:rsidR="00C00085" w:rsidRPr="004D29BC" w:rsidRDefault="00C00085" w:rsidP="00D334ED">
      <w:pPr>
        <w:tabs>
          <w:tab w:val="left" w:pos="9781"/>
        </w:tabs>
        <w:ind w:right="63" w:firstLine="561"/>
        <w:jc w:val="both"/>
        <w:rPr>
          <w:b/>
        </w:rPr>
      </w:pPr>
      <w:r w:rsidRPr="004D29BC">
        <w:rPr>
          <w:b/>
        </w:rPr>
        <w:t xml:space="preserve">Вид цены: </w:t>
      </w:r>
    </w:p>
    <w:p w:rsidR="00C00085" w:rsidRPr="004D29BC" w:rsidRDefault="00C00085" w:rsidP="00D334ED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4D29BC">
        <w:rPr>
          <w:iCs/>
        </w:rPr>
        <w:t>В соответствии с «О</w:t>
      </w:r>
      <w:r w:rsidRPr="004D29BC">
        <w:t xml:space="preserve">сновными положениями функционирования розничных рынков электрической энергии </w:t>
      </w:r>
      <w:r w:rsidRPr="004D29BC">
        <w:rPr>
          <w:iCs/>
        </w:rPr>
        <w:t>",  утв. Постановлением Правительства РФ от 0</w:t>
      </w:r>
      <w:r w:rsidRPr="004D29BC">
        <w:t>4.05.2012 г. № 442 (далее - Основные положения)</w:t>
      </w:r>
      <w:r w:rsidRPr="004D29BC">
        <w:rPr>
          <w:iCs/>
        </w:rPr>
        <w:t>:</w:t>
      </w:r>
    </w:p>
    <w:p w:rsidR="00C00085" w:rsidRPr="004D29BC" w:rsidRDefault="00C00085" w:rsidP="00D334ED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9BC">
        <w:rPr>
          <w:rFonts w:ascii="Times New Roman" w:hAnsi="Times New Roman"/>
          <w:iCs/>
          <w:sz w:val="24"/>
          <w:szCs w:val="24"/>
        </w:rPr>
        <w:t>п</w:t>
      </w:r>
      <w:r w:rsidRPr="004D29BC">
        <w:rPr>
          <w:rFonts w:ascii="Times New Roman" w:hAnsi="Times New Roman"/>
          <w:sz w:val="24"/>
          <w:szCs w:val="24"/>
        </w:rPr>
        <w:t>родажа электрической энерги</w:t>
      </w:r>
      <w:bookmarkStart w:id="0" w:name="_GoBack"/>
      <w:bookmarkEnd w:id="0"/>
      <w:r w:rsidRPr="004D29BC">
        <w:rPr>
          <w:rFonts w:ascii="Times New Roman" w:hAnsi="Times New Roman"/>
          <w:sz w:val="24"/>
          <w:szCs w:val="24"/>
        </w:rPr>
        <w:t>и   по регулируемым ценам (тарифам) осуществляется для снабжения населения и приравненных к нему категорий потребителей,</w:t>
      </w:r>
    </w:p>
    <w:p w:rsidR="00C00085" w:rsidRPr="004D29BC" w:rsidRDefault="00C00085" w:rsidP="00D334ED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9BC">
        <w:rPr>
          <w:rFonts w:ascii="Times New Roman" w:hAnsi="Times New Roman"/>
          <w:sz w:val="24"/>
          <w:szCs w:val="24"/>
        </w:rPr>
        <w:t xml:space="preserve">продажа остальных объемов электрической энергии (мощности) на территориях субъектов Российской Федерации, включенных в ценовые зоны оптового рынка, осуществляется по нерегулируемым ценам в порядке, установленном </w:t>
      </w:r>
      <w:r w:rsidR="00D334ED" w:rsidRPr="004D29BC">
        <w:rPr>
          <w:rFonts w:ascii="Times New Roman" w:hAnsi="Times New Roman"/>
          <w:sz w:val="24"/>
          <w:szCs w:val="24"/>
        </w:rPr>
        <w:t>Основными положениями.</w:t>
      </w:r>
    </w:p>
    <w:p w:rsidR="00C00085" w:rsidRPr="004D29BC" w:rsidRDefault="00C00085" w:rsidP="00D334ED">
      <w:pPr>
        <w:autoSpaceDE w:val="0"/>
        <w:autoSpaceDN w:val="0"/>
        <w:adjustRightInd w:val="0"/>
        <w:jc w:val="both"/>
      </w:pPr>
    </w:p>
    <w:p w:rsidR="00C00085" w:rsidRPr="004D29BC" w:rsidRDefault="00C00085" w:rsidP="00D334ED">
      <w:pPr>
        <w:autoSpaceDE w:val="0"/>
        <w:autoSpaceDN w:val="0"/>
        <w:adjustRightInd w:val="0"/>
        <w:ind w:firstLine="567"/>
        <w:jc w:val="both"/>
      </w:pPr>
      <w:r w:rsidRPr="004D29BC">
        <w:t>Предельные уровни нерегулируемых цен на электрическую энергию (мощность) (далее - предельные уровни нерегулируемых цен) за соответствующий расчетный период рассчитываются гарантирующим поставщиком по следующим ценовым категориям:</w:t>
      </w:r>
    </w:p>
    <w:p w:rsidR="00C00085" w:rsidRPr="004D29BC" w:rsidRDefault="00C00085" w:rsidP="00D334ED">
      <w:pPr>
        <w:numPr>
          <w:ilvl w:val="0"/>
          <w:numId w:val="2"/>
        </w:numPr>
        <w:autoSpaceDE w:val="0"/>
        <w:autoSpaceDN w:val="0"/>
        <w:adjustRightInd w:val="0"/>
        <w:ind w:left="709" w:hanging="142"/>
        <w:jc w:val="both"/>
      </w:pPr>
      <w:r w:rsidRPr="004D29BC">
        <w:t>первая ценовая категория - для объемов покупки электрической энергии (мощности), учет которых осуществляется в целом за расчетный период;</w:t>
      </w:r>
    </w:p>
    <w:p w:rsidR="00C00085" w:rsidRPr="004D29BC" w:rsidRDefault="00C00085" w:rsidP="00C00085">
      <w:pPr>
        <w:numPr>
          <w:ilvl w:val="0"/>
          <w:numId w:val="2"/>
        </w:numPr>
        <w:autoSpaceDE w:val="0"/>
        <w:autoSpaceDN w:val="0"/>
        <w:adjustRightInd w:val="0"/>
        <w:ind w:left="709" w:hanging="142"/>
        <w:jc w:val="both"/>
      </w:pPr>
      <w:r w:rsidRPr="004D29BC">
        <w:t>вторая ценовая категория - для объемов покупки электрической энергии (мощности), учет которых осуществляется по зонам суток расчетного периода;</w:t>
      </w:r>
    </w:p>
    <w:p w:rsidR="00C00085" w:rsidRPr="004D29BC" w:rsidRDefault="00C00085" w:rsidP="00C00085">
      <w:pPr>
        <w:numPr>
          <w:ilvl w:val="0"/>
          <w:numId w:val="2"/>
        </w:numPr>
        <w:autoSpaceDE w:val="0"/>
        <w:autoSpaceDN w:val="0"/>
        <w:adjustRightInd w:val="0"/>
        <w:ind w:left="709" w:hanging="142"/>
        <w:jc w:val="both"/>
      </w:pPr>
      <w:r w:rsidRPr="004D29BC">
        <w:t xml:space="preserve">третья ценовая категория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4D29BC">
        <w:t>одноставочном</w:t>
      </w:r>
      <w:proofErr w:type="spellEnd"/>
      <w:r w:rsidRPr="004D29BC">
        <w:t xml:space="preserve"> выражении;</w:t>
      </w:r>
    </w:p>
    <w:p w:rsidR="00C00085" w:rsidRPr="004D29BC" w:rsidRDefault="00C00085" w:rsidP="00C00085">
      <w:pPr>
        <w:numPr>
          <w:ilvl w:val="0"/>
          <w:numId w:val="2"/>
        </w:numPr>
        <w:autoSpaceDE w:val="0"/>
        <w:autoSpaceDN w:val="0"/>
        <w:adjustRightInd w:val="0"/>
        <w:ind w:left="709" w:hanging="142"/>
        <w:jc w:val="both"/>
      </w:pPr>
      <w:r w:rsidRPr="004D29BC">
        <w:t xml:space="preserve">четвертая ценовая категория - для объемов покупки электрической энергии (мощности), в отношении которых осуществляется почасовой учет, но не осуществляется </w:t>
      </w:r>
      <w:proofErr w:type="gramStart"/>
      <w:r w:rsidRPr="004D29BC">
        <w:t>почасовое</w:t>
      </w:r>
      <w:proofErr w:type="gramEnd"/>
      <w:r w:rsidRPr="004D29BC">
        <w:t xml:space="preserve"> </w:t>
      </w:r>
    </w:p>
    <w:p w:rsidR="00C00085" w:rsidRPr="004D29BC" w:rsidRDefault="00C00085" w:rsidP="00C00085">
      <w:pPr>
        <w:autoSpaceDE w:val="0"/>
        <w:autoSpaceDN w:val="0"/>
        <w:adjustRightInd w:val="0"/>
        <w:ind w:left="709"/>
        <w:jc w:val="both"/>
      </w:pPr>
      <w:r w:rsidRPr="004D29BC">
        <w:t xml:space="preserve">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4D29BC">
        <w:t>двухставочном</w:t>
      </w:r>
      <w:proofErr w:type="spellEnd"/>
      <w:r w:rsidRPr="004D29BC">
        <w:t xml:space="preserve"> выражении;</w:t>
      </w:r>
    </w:p>
    <w:p w:rsidR="00C00085" w:rsidRPr="004D29BC" w:rsidRDefault="00C00085" w:rsidP="00C00085">
      <w:pPr>
        <w:numPr>
          <w:ilvl w:val="0"/>
          <w:numId w:val="2"/>
        </w:numPr>
        <w:autoSpaceDE w:val="0"/>
        <w:autoSpaceDN w:val="0"/>
        <w:adjustRightInd w:val="0"/>
        <w:ind w:left="709" w:hanging="142"/>
        <w:jc w:val="both"/>
      </w:pPr>
      <w:r w:rsidRPr="004D29BC">
        <w:t xml:space="preserve">пятая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4D29BC">
        <w:t>одноставочном</w:t>
      </w:r>
      <w:proofErr w:type="spellEnd"/>
      <w:r w:rsidRPr="004D29BC">
        <w:t xml:space="preserve"> выражении;</w:t>
      </w:r>
    </w:p>
    <w:p w:rsidR="00C00085" w:rsidRPr="004D29BC" w:rsidRDefault="00C00085" w:rsidP="00C00085">
      <w:pPr>
        <w:numPr>
          <w:ilvl w:val="0"/>
          <w:numId w:val="2"/>
        </w:numPr>
        <w:autoSpaceDE w:val="0"/>
        <w:autoSpaceDN w:val="0"/>
        <w:adjustRightInd w:val="0"/>
        <w:ind w:left="709" w:hanging="142"/>
        <w:jc w:val="both"/>
      </w:pPr>
      <w:r w:rsidRPr="004D29BC">
        <w:t xml:space="preserve">шестая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4D29BC">
        <w:t>двухставочном</w:t>
      </w:r>
      <w:proofErr w:type="spellEnd"/>
      <w:r w:rsidRPr="004D29BC">
        <w:t xml:space="preserve"> выражении.</w:t>
      </w:r>
    </w:p>
    <w:p w:rsidR="00C00085" w:rsidRPr="004D29BC" w:rsidRDefault="00C00085" w:rsidP="00C00085">
      <w:pPr>
        <w:autoSpaceDE w:val="0"/>
        <w:autoSpaceDN w:val="0"/>
        <w:adjustRightInd w:val="0"/>
        <w:jc w:val="both"/>
      </w:pPr>
    </w:p>
    <w:p w:rsidR="00DD39D8" w:rsidRPr="004D29BC" w:rsidRDefault="00C00085" w:rsidP="00C00085">
      <w:pPr>
        <w:autoSpaceDE w:val="0"/>
        <w:autoSpaceDN w:val="0"/>
        <w:adjustRightInd w:val="0"/>
        <w:ind w:firstLine="540"/>
        <w:jc w:val="both"/>
      </w:pPr>
      <w:proofErr w:type="gramStart"/>
      <w:r w:rsidRPr="004D29BC">
        <w:t>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(ставок тарифов) на услуги по передаче электрической энергии, а также начиная с расчетного периода, в котором применяются сбытовые надбавки гарантирующих поставщиков, определяемые в виде формулы в соответствии с Основами ценообразования в области регулируемых цен (тарифов) в электроэнергетике, предельные уровни нерегулируемых цен дифференцируются</w:t>
      </w:r>
      <w:proofErr w:type="gramEnd"/>
      <w:r w:rsidRPr="004D29BC">
        <w:t xml:space="preserve"> по группам (подгруппам) потребителей. Дифференциация предельных уровней нерегулируемых цен на электрическую энергию (мощность) по высокому первому напряжению (ВН</w:t>
      </w:r>
      <w:proofErr w:type="gramStart"/>
      <w:r w:rsidRPr="004D29BC">
        <w:t>1</w:t>
      </w:r>
      <w:proofErr w:type="gramEnd"/>
      <w:r w:rsidRPr="004D29BC">
        <w:t>) применяется только в отношении четвертой и шестой ценовых категорий.</w:t>
      </w:r>
      <w:r w:rsidR="00DD39D8" w:rsidRPr="004D29BC">
        <w:t xml:space="preserve"> </w:t>
      </w:r>
    </w:p>
    <w:p w:rsidR="00C00085" w:rsidRPr="004D29BC" w:rsidRDefault="00C00085" w:rsidP="00C00085">
      <w:pPr>
        <w:autoSpaceDE w:val="0"/>
        <w:autoSpaceDN w:val="0"/>
        <w:adjustRightInd w:val="0"/>
        <w:ind w:firstLine="540"/>
        <w:jc w:val="both"/>
      </w:pPr>
      <w:r w:rsidRPr="004D29BC">
        <w:t xml:space="preserve">Предельные уровни нерегулируемых цен рассчитываются с учетом особенностей, предусмотренных п. 96 </w:t>
      </w:r>
      <w:r w:rsidRPr="004D29BC">
        <w:rPr>
          <w:iCs/>
        </w:rPr>
        <w:t>О</w:t>
      </w:r>
      <w:r w:rsidRPr="004D29BC">
        <w:t>сновных положений, по формулам расчета предельных уровней нерегулируемых цен на электрическую энергию (мощность) и их составляющих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РФ от 29.12.2011 г. № 1179.</w:t>
      </w:r>
    </w:p>
    <w:p w:rsidR="00C00085" w:rsidRPr="004D29BC" w:rsidRDefault="00C00085" w:rsidP="00C0008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</w:p>
    <w:p w:rsidR="00DE3FA1" w:rsidRPr="004D29BC" w:rsidRDefault="00DE3FA1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rPr>
          <w:b/>
        </w:rPr>
      </w:pPr>
    </w:p>
    <w:p w:rsidR="00DE3FA1" w:rsidRPr="004D29BC" w:rsidRDefault="00DE3FA1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rPr>
          <w:b/>
        </w:rPr>
      </w:pPr>
    </w:p>
    <w:p w:rsidR="00DE3FA1" w:rsidRPr="004D29BC" w:rsidRDefault="00DE3FA1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rPr>
          <w:b/>
        </w:rPr>
      </w:pP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</w:pPr>
      <w:r w:rsidRPr="004D29BC">
        <w:rPr>
          <w:b/>
        </w:rPr>
        <w:t>Форма оплаты:</w:t>
      </w:r>
      <w:r w:rsidRPr="004D29BC">
        <w:t xml:space="preserve"> безналичная, платежным поручением на расчетный счет;</w:t>
      </w: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  <w:rPr>
          <w:b/>
        </w:rPr>
      </w:pP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  <w:rPr>
          <w:b/>
        </w:rPr>
      </w:pPr>
      <w:r w:rsidRPr="004D29BC">
        <w:rPr>
          <w:b/>
        </w:rPr>
        <w:t>Форма обеспечения исполнения обязатель</w:t>
      </w:r>
      <w:proofErr w:type="gramStart"/>
      <w:r w:rsidRPr="004D29BC">
        <w:rPr>
          <w:b/>
        </w:rPr>
        <w:t>ств ст</w:t>
      </w:r>
      <w:proofErr w:type="gramEnd"/>
      <w:r w:rsidRPr="004D29BC">
        <w:rPr>
          <w:b/>
        </w:rPr>
        <w:t xml:space="preserve">орон по договору:  </w:t>
      </w: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</w:pPr>
      <w:r w:rsidRPr="004D29BC">
        <w:t>В соответствии с ГК РФ; посредством допущения ограничения (полностью или частично) в поставке электроэнергии.</w:t>
      </w: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</w:pP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</w:pPr>
      <w:r w:rsidRPr="004D29BC">
        <w:rPr>
          <w:b/>
        </w:rPr>
        <w:t>Ответственность сторон:</w:t>
      </w:r>
      <w:r w:rsidRPr="004D29BC">
        <w:t xml:space="preserve">  стороны несут ответственность в случае неисполнения или ненадлежащего исполнения  своих обязательств в порядке и размерах, предусмотренных действующим законодательством. Договором устанавливается порядок определения неустойки, понесенных убытков.  </w:t>
      </w: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</w:pP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</w:pPr>
      <w:r w:rsidRPr="004D29BC">
        <w:rPr>
          <w:b/>
        </w:rPr>
        <w:t>Условия расторжения договора:</w:t>
      </w:r>
      <w:r w:rsidRPr="004D29BC">
        <w:t xml:space="preserve">  в соответствии с ГК РФ;  при поступлении до окончания срока действия договора  заявления одной из сторон о его прекращении либо заключении нового договора.</w:t>
      </w: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</w:pPr>
    </w:p>
    <w:p w:rsidR="00C00085" w:rsidRPr="004D29BC" w:rsidRDefault="00C00085" w:rsidP="00C00085">
      <w:pPr>
        <w:tabs>
          <w:tab w:val="left" w:pos="9781"/>
        </w:tabs>
        <w:autoSpaceDE w:val="0"/>
        <w:autoSpaceDN w:val="0"/>
        <w:adjustRightInd w:val="0"/>
        <w:ind w:right="63" w:firstLine="561"/>
        <w:jc w:val="both"/>
        <w:outlineLvl w:val="1"/>
        <w:rPr>
          <w:b/>
        </w:rPr>
      </w:pPr>
      <w:r w:rsidRPr="004D29BC">
        <w:rPr>
          <w:b/>
        </w:rPr>
        <w:t xml:space="preserve">Зона </w:t>
      </w:r>
      <w:r w:rsidR="001D07D9" w:rsidRPr="004D29BC">
        <w:rPr>
          <w:b/>
        </w:rPr>
        <w:t>обслуживания</w:t>
      </w:r>
      <w:r w:rsidRPr="004D29BC">
        <w:rPr>
          <w:b/>
        </w:rPr>
        <w:t xml:space="preserve">:  </w:t>
      </w:r>
    </w:p>
    <w:p w:rsidR="00C00085" w:rsidRPr="004D29BC" w:rsidRDefault="00C00085" w:rsidP="00C00085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63" w:firstLine="561"/>
        <w:jc w:val="both"/>
        <w:outlineLvl w:val="1"/>
        <w:rPr>
          <w:rFonts w:ascii="Times New Roman" w:hAnsi="Times New Roman"/>
          <w:sz w:val="24"/>
          <w:szCs w:val="24"/>
        </w:rPr>
      </w:pPr>
      <w:r w:rsidRPr="004D29BC">
        <w:rPr>
          <w:rFonts w:ascii="Times New Roman" w:hAnsi="Times New Roman"/>
          <w:sz w:val="24"/>
          <w:szCs w:val="24"/>
        </w:rPr>
        <w:t>по месту нахождения потребителя электрической энергии и мощности на территории Российской федерации (Челябинская область),</w:t>
      </w:r>
    </w:p>
    <w:p w:rsidR="00C00085" w:rsidRPr="004D29BC" w:rsidRDefault="00C00085" w:rsidP="00C00085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63" w:firstLine="561"/>
        <w:jc w:val="both"/>
        <w:outlineLvl w:val="1"/>
        <w:rPr>
          <w:rFonts w:ascii="Times New Roman" w:hAnsi="Times New Roman"/>
          <w:sz w:val="24"/>
          <w:szCs w:val="24"/>
        </w:rPr>
      </w:pPr>
      <w:r w:rsidRPr="004D29BC">
        <w:rPr>
          <w:rFonts w:ascii="Times New Roman" w:hAnsi="Times New Roman"/>
          <w:sz w:val="24"/>
          <w:szCs w:val="24"/>
        </w:rPr>
        <w:t>Постановлением ГК «Единый тарифный орган Челябинской области» от 12.10.2006 г. № 27-1 ОАО «Челябэнергосбыт» присвоен статус гарантирующего поставщика: вся территория Челябинской области за исключением зон деятельности иных гарантирующих поставщиков.</w:t>
      </w:r>
    </w:p>
    <w:p w:rsidR="00C00085" w:rsidRPr="00220C61" w:rsidRDefault="00C00085" w:rsidP="00C0008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</w:pPr>
    </w:p>
    <w:p w:rsidR="00C00085" w:rsidRDefault="00C00085" w:rsidP="00C00085">
      <w:pPr>
        <w:pStyle w:val="a3"/>
        <w:spacing w:line="240" w:lineRule="auto"/>
        <w:rPr>
          <w:rFonts w:ascii="Times New Roman" w:hAnsi="Times New Roman"/>
        </w:rPr>
      </w:pPr>
    </w:p>
    <w:p w:rsidR="009A3C33" w:rsidRPr="00580340" w:rsidRDefault="009A3C33" w:rsidP="00C00085">
      <w:pPr>
        <w:pStyle w:val="9"/>
        <w:rPr>
          <w:i/>
          <w:szCs w:val="18"/>
        </w:rPr>
      </w:pPr>
    </w:p>
    <w:sectPr w:rsidR="009A3C33" w:rsidRPr="00580340" w:rsidSect="00DE3FA1">
      <w:headerReference w:type="first" r:id="rId9"/>
      <w:pgSz w:w="11907" w:h="16840" w:code="9"/>
      <w:pgMar w:top="0" w:right="567" w:bottom="709" w:left="1701" w:header="0" w:footer="567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43" w:rsidRDefault="005D4B43">
      <w:r>
        <w:separator/>
      </w:r>
    </w:p>
  </w:endnote>
  <w:endnote w:type="continuationSeparator" w:id="0">
    <w:p w:rsidR="005D4B43" w:rsidRDefault="005D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43" w:rsidRDefault="005D4B43">
      <w:r>
        <w:separator/>
      </w:r>
    </w:p>
  </w:footnote>
  <w:footnote w:type="continuationSeparator" w:id="0">
    <w:p w:rsidR="005D4B43" w:rsidRDefault="005D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82" w:rsidRDefault="004D29BC" w:rsidP="00BC4D1B">
    <w:pPr>
      <w:pStyle w:val="a6"/>
      <w:jc w:val="center"/>
    </w:pPr>
    <w:r>
      <w:rPr>
        <w:noProof/>
      </w:rPr>
      <w:pict>
        <v:group id="Полотно 2" o:spid="_x0000_s2052" editas="canvas" style="position:absolute;left:0;text-align:left;margin-left:-74.8pt;margin-top:0;width:757.75pt;height:125.8pt;z-index:-251658240" coordsize="96234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96234;height:15976;visibility:visible">
            <v:fill o:detectmouseclick="t"/>
            <v:path o:connecttype="none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158"/>
    <w:multiLevelType w:val="hybridMultilevel"/>
    <w:tmpl w:val="E202ECE4"/>
    <w:lvl w:ilvl="0" w:tplc="1006130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375D5"/>
    <w:multiLevelType w:val="hybridMultilevel"/>
    <w:tmpl w:val="6E620FBC"/>
    <w:lvl w:ilvl="0" w:tplc="1006130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D1CE1"/>
    <w:multiLevelType w:val="hybridMultilevel"/>
    <w:tmpl w:val="5698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7A52"/>
    <w:multiLevelType w:val="hybridMultilevel"/>
    <w:tmpl w:val="B64AD462"/>
    <w:lvl w:ilvl="0" w:tplc="A0508B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C7061"/>
    <w:multiLevelType w:val="hybridMultilevel"/>
    <w:tmpl w:val="FA38FBB6"/>
    <w:lvl w:ilvl="0" w:tplc="1006130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B43"/>
    <w:rsid w:val="00012669"/>
    <w:rsid w:val="00082282"/>
    <w:rsid w:val="000B3505"/>
    <w:rsid w:val="000C4FF7"/>
    <w:rsid w:val="00100560"/>
    <w:rsid w:val="00125A63"/>
    <w:rsid w:val="00142F2D"/>
    <w:rsid w:val="0014713D"/>
    <w:rsid w:val="00165795"/>
    <w:rsid w:val="00192E37"/>
    <w:rsid w:val="00193314"/>
    <w:rsid w:val="001D07D9"/>
    <w:rsid w:val="001F49C9"/>
    <w:rsid w:val="00202DFC"/>
    <w:rsid w:val="00253810"/>
    <w:rsid w:val="00274CD7"/>
    <w:rsid w:val="00275676"/>
    <w:rsid w:val="00287E76"/>
    <w:rsid w:val="00297050"/>
    <w:rsid w:val="002B47FC"/>
    <w:rsid w:val="002C2C84"/>
    <w:rsid w:val="002E5F69"/>
    <w:rsid w:val="00335C00"/>
    <w:rsid w:val="00372EB1"/>
    <w:rsid w:val="00383FD1"/>
    <w:rsid w:val="00391938"/>
    <w:rsid w:val="003B5D2F"/>
    <w:rsid w:val="003D135C"/>
    <w:rsid w:val="003D5346"/>
    <w:rsid w:val="00406415"/>
    <w:rsid w:val="0042650F"/>
    <w:rsid w:val="00430EF1"/>
    <w:rsid w:val="00445071"/>
    <w:rsid w:val="004C3790"/>
    <w:rsid w:val="004D29BC"/>
    <w:rsid w:val="004F54B8"/>
    <w:rsid w:val="005051AE"/>
    <w:rsid w:val="005058C7"/>
    <w:rsid w:val="005262D7"/>
    <w:rsid w:val="00534B30"/>
    <w:rsid w:val="00563984"/>
    <w:rsid w:val="0057219B"/>
    <w:rsid w:val="00574EC2"/>
    <w:rsid w:val="00575FAD"/>
    <w:rsid w:val="00577475"/>
    <w:rsid w:val="00580340"/>
    <w:rsid w:val="005934D4"/>
    <w:rsid w:val="005B596A"/>
    <w:rsid w:val="005D4B43"/>
    <w:rsid w:val="005E7C14"/>
    <w:rsid w:val="00636E76"/>
    <w:rsid w:val="0064523B"/>
    <w:rsid w:val="00650D92"/>
    <w:rsid w:val="006554C0"/>
    <w:rsid w:val="006605C1"/>
    <w:rsid w:val="00675382"/>
    <w:rsid w:val="00681483"/>
    <w:rsid w:val="00694CF4"/>
    <w:rsid w:val="006B12E6"/>
    <w:rsid w:val="00710F80"/>
    <w:rsid w:val="0072700F"/>
    <w:rsid w:val="00754097"/>
    <w:rsid w:val="00772C6A"/>
    <w:rsid w:val="00774C4C"/>
    <w:rsid w:val="00830274"/>
    <w:rsid w:val="0083182D"/>
    <w:rsid w:val="0084242E"/>
    <w:rsid w:val="00847904"/>
    <w:rsid w:val="008564B5"/>
    <w:rsid w:val="00860770"/>
    <w:rsid w:val="00876F17"/>
    <w:rsid w:val="008B5505"/>
    <w:rsid w:val="008C5465"/>
    <w:rsid w:val="008D5B96"/>
    <w:rsid w:val="008E042C"/>
    <w:rsid w:val="008E2442"/>
    <w:rsid w:val="008E2CF3"/>
    <w:rsid w:val="008E6E08"/>
    <w:rsid w:val="008F5FEB"/>
    <w:rsid w:val="009023F1"/>
    <w:rsid w:val="00950395"/>
    <w:rsid w:val="00955AED"/>
    <w:rsid w:val="00957AD7"/>
    <w:rsid w:val="0097143A"/>
    <w:rsid w:val="00984FF2"/>
    <w:rsid w:val="00997258"/>
    <w:rsid w:val="009A02C6"/>
    <w:rsid w:val="009A3C33"/>
    <w:rsid w:val="009E39C0"/>
    <w:rsid w:val="009E4FB6"/>
    <w:rsid w:val="009F44BC"/>
    <w:rsid w:val="009F7F13"/>
    <w:rsid w:val="00A006B0"/>
    <w:rsid w:val="00A0076A"/>
    <w:rsid w:val="00A325B0"/>
    <w:rsid w:val="00A34AFB"/>
    <w:rsid w:val="00A50D06"/>
    <w:rsid w:val="00A63073"/>
    <w:rsid w:val="00A834C1"/>
    <w:rsid w:val="00A920A6"/>
    <w:rsid w:val="00AA01E4"/>
    <w:rsid w:val="00AA26AD"/>
    <w:rsid w:val="00AB7055"/>
    <w:rsid w:val="00AE7627"/>
    <w:rsid w:val="00B009D8"/>
    <w:rsid w:val="00B40F2B"/>
    <w:rsid w:val="00B800F5"/>
    <w:rsid w:val="00B819D3"/>
    <w:rsid w:val="00BB2AFF"/>
    <w:rsid w:val="00BB6955"/>
    <w:rsid w:val="00BC3D36"/>
    <w:rsid w:val="00BC4D1B"/>
    <w:rsid w:val="00BC4ECC"/>
    <w:rsid w:val="00BF3283"/>
    <w:rsid w:val="00BF72A4"/>
    <w:rsid w:val="00C00085"/>
    <w:rsid w:val="00C22F72"/>
    <w:rsid w:val="00C3593A"/>
    <w:rsid w:val="00C77E56"/>
    <w:rsid w:val="00CA1240"/>
    <w:rsid w:val="00CA3DEC"/>
    <w:rsid w:val="00CF383A"/>
    <w:rsid w:val="00CF490E"/>
    <w:rsid w:val="00D108ED"/>
    <w:rsid w:val="00D13F95"/>
    <w:rsid w:val="00D2703D"/>
    <w:rsid w:val="00D334ED"/>
    <w:rsid w:val="00D914B4"/>
    <w:rsid w:val="00DB4878"/>
    <w:rsid w:val="00DD3910"/>
    <w:rsid w:val="00DD39D8"/>
    <w:rsid w:val="00DE3FA1"/>
    <w:rsid w:val="00E54670"/>
    <w:rsid w:val="00ED43C8"/>
    <w:rsid w:val="00EE30A7"/>
    <w:rsid w:val="00F00584"/>
    <w:rsid w:val="00F52503"/>
    <w:rsid w:val="00F73941"/>
    <w:rsid w:val="00F839AD"/>
    <w:rsid w:val="00F84CE0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55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220" w:line="180" w:lineRule="atLeast"/>
      <w:jc w:val="both"/>
    </w:pPr>
    <w:rPr>
      <w:rFonts w:ascii="Arial" w:hAnsi="Arial"/>
      <w:spacing w:val="-5"/>
      <w:szCs w:val="20"/>
    </w:rPr>
  </w:style>
  <w:style w:type="paragraph" w:customStyle="1" w:styleId="9">
    <w:name w:val="Обычный 9пт"/>
    <w:basedOn w:val="a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table" w:styleId="a5">
    <w:name w:val="Table Grid"/>
    <w:basedOn w:val="a1"/>
    <w:rsid w:val="00CF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B12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B12E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7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7C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534B30"/>
    <w:rPr>
      <w:color w:val="0000FF"/>
      <w:u w:val="single"/>
    </w:rPr>
  </w:style>
  <w:style w:type="character" w:customStyle="1" w:styleId="a4">
    <w:name w:val="Основной текст Знак"/>
    <w:link w:val="a3"/>
    <w:rsid w:val="00A325B0"/>
    <w:rPr>
      <w:rFonts w:ascii="Arial" w:hAnsi="Arial"/>
      <w:spacing w:val="-5"/>
      <w:sz w:val="24"/>
    </w:rPr>
  </w:style>
  <w:style w:type="paragraph" w:styleId="ac">
    <w:name w:val="Normal (Web)"/>
    <w:basedOn w:val="a"/>
    <w:uiPriority w:val="99"/>
    <w:unhideWhenUsed/>
    <w:rsid w:val="00F525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55AED"/>
    <w:rPr>
      <w:b/>
      <w:bCs/>
      <w:kern w:val="36"/>
      <w:sz w:val="48"/>
      <w:szCs w:val="48"/>
    </w:rPr>
  </w:style>
  <w:style w:type="character" w:styleId="ad">
    <w:name w:val="Strong"/>
    <w:uiPriority w:val="22"/>
    <w:qFormat/>
    <w:rsid w:val="00955AED"/>
    <w:rPr>
      <w:b/>
      <w:bCs/>
    </w:rPr>
  </w:style>
  <w:style w:type="paragraph" w:customStyle="1" w:styleId="ConsPlusNormal">
    <w:name w:val="ConsPlusNormal"/>
    <w:rsid w:val="00DD39D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9E6A-447E-425A-AC8B-DD5B75CB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Владимировна</dc:creator>
  <dc:description>Отдела ДОУ</dc:description>
  <cp:lastModifiedBy>Ратникова Татьяна Владимировна</cp:lastModifiedBy>
  <cp:revision>6</cp:revision>
  <cp:lastPrinted>2015-06-18T11:24:00Z</cp:lastPrinted>
  <dcterms:created xsi:type="dcterms:W3CDTF">2015-06-02T06:18:00Z</dcterms:created>
  <dcterms:modified xsi:type="dcterms:W3CDTF">2015-06-19T10:22:00Z</dcterms:modified>
</cp:coreProperties>
</file>